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90CC" w14:textId="77777777" w:rsidR="00CF6083" w:rsidRPr="007E3D0B" w:rsidRDefault="00CF6083" w:rsidP="008D2B9C">
      <w:pPr>
        <w:rPr>
          <w:rFonts w:asciiTheme="minorHAnsi" w:hAnsiTheme="minorHAnsi" w:cstheme="minorHAnsi"/>
          <w:color w:val="000000" w:themeColor="text1"/>
        </w:rPr>
      </w:pPr>
    </w:p>
    <w:p w14:paraId="1CB6A087" w14:textId="77777777" w:rsidR="00CF6083" w:rsidRPr="007E3D0B" w:rsidRDefault="00CF6083" w:rsidP="008D2B9C">
      <w:pPr>
        <w:rPr>
          <w:rFonts w:asciiTheme="minorHAnsi" w:hAnsiTheme="minorHAnsi" w:cstheme="minorHAnsi"/>
          <w:color w:val="000000" w:themeColor="text1"/>
        </w:rPr>
      </w:pPr>
    </w:p>
    <w:p w14:paraId="1AB221B0" w14:textId="77777777" w:rsidR="00CF6083" w:rsidRPr="007E3D0B" w:rsidRDefault="00CF6083" w:rsidP="008D2B9C">
      <w:pPr>
        <w:rPr>
          <w:rFonts w:asciiTheme="minorHAnsi" w:hAnsiTheme="minorHAnsi" w:cstheme="minorHAnsi"/>
          <w:color w:val="000000" w:themeColor="text1"/>
        </w:rPr>
      </w:pPr>
    </w:p>
    <w:p w14:paraId="3EC31522" w14:textId="77777777" w:rsidR="00CF6083" w:rsidRPr="007E3D0B" w:rsidRDefault="00CF6083" w:rsidP="008D2B9C">
      <w:pPr>
        <w:rPr>
          <w:rFonts w:asciiTheme="minorHAnsi" w:hAnsiTheme="minorHAnsi" w:cstheme="minorHAnsi"/>
          <w:color w:val="000000" w:themeColor="text1"/>
        </w:rPr>
      </w:pPr>
    </w:p>
    <w:p w14:paraId="43F51A72" w14:textId="77777777" w:rsidR="00CF6083" w:rsidRPr="007E3D0B" w:rsidRDefault="00CF6083" w:rsidP="007E3D0B">
      <w:pPr>
        <w:jc w:val="center"/>
        <w:rPr>
          <w:rFonts w:asciiTheme="minorHAnsi" w:hAnsiTheme="minorHAnsi" w:cstheme="minorHAnsi"/>
          <w:color w:val="000000" w:themeColor="text1"/>
          <w:sz w:val="48"/>
          <w:szCs w:val="48"/>
        </w:rPr>
      </w:pPr>
    </w:p>
    <w:p w14:paraId="35E03CA6" w14:textId="77777777" w:rsidR="007E3D0B" w:rsidRPr="007E3D0B" w:rsidRDefault="00CF6083" w:rsidP="007E3D0B">
      <w:pPr>
        <w:jc w:val="center"/>
        <w:rPr>
          <w:rFonts w:asciiTheme="minorHAnsi" w:hAnsiTheme="minorHAnsi" w:cstheme="minorHAnsi"/>
          <w:b/>
          <w:color w:val="000000" w:themeColor="text1"/>
          <w:sz w:val="56"/>
          <w:szCs w:val="56"/>
        </w:rPr>
      </w:pPr>
      <w:r w:rsidRPr="007E3D0B">
        <w:rPr>
          <w:rFonts w:asciiTheme="minorHAnsi" w:hAnsiTheme="minorHAnsi" w:cstheme="minorHAnsi"/>
          <w:b/>
          <w:color w:val="000000" w:themeColor="text1"/>
          <w:sz w:val="56"/>
          <w:szCs w:val="56"/>
        </w:rPr>
        <w:t>POLÍTICA DE INVESTIMENTOS 202</w:t>
      </w:r>
      <w:r w:rsidR="00B338B5" w:rsidRPr="007E3D0B">
        <w:rPr>
          <w:rFonts w:asciiTheme="minorHAnsi" w:hAnsiTheme="minorHAnsi" w:cstheme="minorHAnsi"/>
          <w:b/>
          <w:color w:val="000000" w:themeColor="text1"/>
          <w:sz w:val="56"/>
          <w:szCs w:val="56"/>
        </w:rPr>
        <w:t>6</w:t>
      </w:r>
    </w:p>
    <w:p w14:paraId="2B6291C9" w14:textId="77777777" w:rsidR="007E3D0B" w:rsidRPr="007E3D0B" w:rsidRDefault="007E3D0B" w:rsidP="007E3D0B">
      <w:pPr>
        <w:jc w:val="center"/>
        <w:rPr>
          <w:rFonts w:asciiTheme="minorHAnsi" w:hAnsiTheme="minorHAnsi" w:cstheme="minorHAnsi"/>
          <w:b/>
          <w:color w:val="000000" w:themeColor="text1"/>
          <w:sz w:val="40"/>
          <w:szCs w:val="40"/>
        </w:rPr>
      </w:pPr>
    </w:p>
    <w:p w14:paraId="1B36763F" w14:textId="76836FBD" w:rsidR="00512627" w:rsidRPr="007E3D0B" w:rsidRDefault="00512627" w:rsidP="007E3D0B">
      <w:pPr>
        <w:jc w:val="center"/>
        <w:rPr>
          <w:rFonts w:asciiTheme="minorHAnsi" w:hAnsiTheme="minorHAnsi" w:cstheme="minorHAnsi"/>
          <w:color w:val="000000" w:themeColor="text1"/>
          <w:sz w:val="40"/>
          <w:szCs w:val="40"/>
        </w:rPr>
      </w:pPr>
      <w:r w:rsidRPr="007E3D0B">
        <w:rPr>
          <w:rFonts w:asciiTheme="minorHAnsi" w:hAnsiTheme="minorHAnsi" w:cstheme="minorHAnsi"/>
          <w:color w:val="000000" w:themeColor="text1"/>
          <w:sz w:val="40"/>
          <w:szCs w:val="40"/>
        </w:rPr>
        <w:t>INSTITUTO DE PREVIDÊNCIA MUNICIPAL DE SANTO ANTÔNIO DE POSSE - IPREM POSSE</w:t>
      </w:r>
    </w:p>
    <w:p w14:paraId="13630C55" w14:textId="77777777" w:rsidR="00CF6083" w:rsidRPr="007E3D0B" w:rsidRDefault="00CF6083" w:rsidP="008D2B9C">
      <w:pPr>
        <w:rPr>
          <w:rFonts w:asciiTheme="minorHAnsi" w:hAnsiTheme="minorHAnsi" w:cstheme="minorHAnsi"/>
          <w:color w:val="000000" w:themeColor="text1"/>
        </w:rPr>
      </w:pPr>
    </w:p>
    <w:p w14:paraId="59DCCA41" w14:textId="77777777" w:rsidR="00CF6083" w:rsidRPr="007E3D0B" w:rsidRDefault="00CF6083" w:rsidP="008D2B9C">
      <w:pPr>
        <w:rPr>
          <w:rFonts w:asciiTheme="minorHAnsi" w:hAnsiTheme="minorHAnsi" w:cstheme="minorHAnsi"/>
          <w:color w:val="000000" w:themeColor="text1"/>
        </w:rPr>
      </w:pPr>
    </w:p>
    <w:p w14:paraId="0648145B" w14:textId="77777777" w:rsidR="00CF6083" w:rsidRPr="007E3D0B" w:rsidRDefault="00CF6083" w:rsidP="008D2B9C">
      <w:pPr>
        <w:rPr>
          <w:rFonts w:asciiTheme="minorHAnsi" w:hAnsiTheme="minorHAnsi" w:cstheme="minorHAnsi"/>
          <w:color w:val="000000" w:themeColor="text1"/>
        </w:rPr>
      </w:pPr>
    </w:p>
    <w:p w14:paraId="4A82A7F2" w14:textId="77777777" w:rsidR="00CF6083" w:rsidRPr="007E3D0B" w:rsidRDefault="00CF6083" w:rsidP="008D2B9C">
      <w:pPr>
        <w:rPr>
          <w:rFonts w:asciiTheme="minorHAnsi" w:hAnsiTheme="minorHAnsi" w:cstheme="minorHAnsi"/>
          <w:color w:val="000000" w:themeColor="text1"/>
        </w:rPr>
      </w:pPr>
    </w:p>
    <w:p w14:paraId="1171C8AE" w14:textId="77777777" w:rsidR="00CF6083" w:rsidRPr="007E3D0B" w:rsidRDefault="00512627" w:rsidP="00512627">
      <w:pPr>
        <w:tabs>
          <w:tab w:val="left" w:pos="3504"/>
        </w:tabs>
        <w:rPr>
          <w:rFonts w:asciiTheme="minorHAnsi" w:hAnsiTheme="minorHAnsi" w:cstheme="minorHAnsi"/>
          <w:color w:val="000000" w:themeColor="text1"/>
        </w:rPr>
      </w:pPr>
      <w:r w:rsidRPr="007E3D0B">
        <w:rPr>
          <w:rFonts w:asciiTheme="minorHAnsi" w:hAnsiTheme="minorHAnsi" w:cstheme="minorHAnsi"/>
          <w:color w:val="000000" w:themeColor="text1"/>
        </w:rPr>
        <w:tab/>
      </w:r>
    </w:p>
    <w:p w14:paraId="552C85EA" w14:textId="77777777" w:rsidR="00CF6083" w:rsidRPr="007E3D0B" w:rsidRDefault="00CF6083" w:rsidP="008D2B9C">
      <w:pPr>
        <w:rPr>
          <w:rFonts w:asciiTheme="minorHAnsi" w:hAnsiTheme="minorHAnsi" w:cstheme="minorHAnsi"/>
          <w:color w:val="000000" w:themeColor="text1"/>
        </w:rPr>
      </w:pPr>
    </w:p>
    <w:p w14:paraId="281A3F85" w14:textId="77777777" w:rsidR="00CF6083" w:rsidRPr="007E3D0B" w:rsidRDefault="00CF6083" w:rsidP="008D2B9C">
      <w:pPr>
        <w:rPr>
          <w:rFonts w:asciiTheme="minorHAnsi" w:hAnsiTheme="minorHAnsi" w:cstheme="minorHAnsi"/>
          <w:color w:val="000000" w:themeColor="text1"/>
        </w:rPr>
      </w:pPr>
    </w:p>
    <w:p w14:paraId="12039F2C" w14:textId="77777777" w:rsidR="002D5B0B" w:rsidRPr="007E3D0B" w:rsidRDefault="002D5B0B" w:rsidP="008D2B9C">
      <w:pPr>
        <w:rPr>
          <w:rFonts w:asciiTheme="minorHAnsi" w:hAnsiTheme="minorHAnsi" w:cstheme="minorHAnsi"/>
          <w:color w:val="000000" w:themeColor="text1"/>
        </w:rPr>
      </w:pPr>
    </w:p>
    <w:p w14:paraId="2FFE03E6" w14:textId="77777777" w:rsidR="00FD2603" w:rsidRPr="007E3D0B" w:rsidRDefault="00FD2603" w:rsidP="008D2B9C">
      <w:pPr>
        <w:rPr>
          <w:rFonts w:asciiTheme="minorHAnsi" w:hAnsiTheme="minorHAnsi" w:cstheme="minorHAnsi"/>
          <w:color w:val="000000" w:themeColor="text1"/>
        </w:rPr>
      </w:pPr>
    </w:p>
    <w:p w14:paraId="3EE848C6" w14:textId="77777777" w:rsidR="00CF6083" w:rsidRPr="007E3D0B" w:rsidRDefault="00CF6083" w:rsidP="008D2B9C">
      <w:pPr>
        <w:rPr>
          <w:rFonts w:asciiTheme="minorHAnsi" w:hAnsiTheme="minorHAnsi" w:cstheme="minorHAnsi"/>
          <w:color w:val="000000" w:themeColor="text1"/>
        </w:rPr>
      </w:pPr>
    </w:p>
    <w:tbl>
      <w:tblPr>
        <w:tblStyle w:val="Tabelacomgrade"/>
        <w:tblW w:w="5000" w:type="pct"/>
        <w:tblBorders>
          <w:top w:val="dotted" w:sz="2" w:space="0" w:color="7F7F7F" w:themeColor="text1" w:themeTint="80"/>
          <w:left w:val="dotted" w:sz="2" w:space="0" w:color="7F7F7F" w:themeColor="text1" w:themeTint="80"/>
          <w:bottom w:val="dotted" w:sz="2" w:space="0" w:color="7F7F7F" w:themeColor="text1" w:themeTint="80"/>
          <w:right w:val="dotted" w:sz="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4805"/>
        <w:gridCol w:w="2393"/>
        <w:gridCol w:w="1144"/>
        <w:gridCol w:w="1290"/>
      </w:tblGrid>
      <w:tr w:rsidR="007E3D0B" w:rsidRPr="007E3D0B" w14:paraId="7CED98DE" w14:textId="77777777" w:rsidTr="00B41638">
        <w:trPr>
          <w:trHeight w:val="20"/>
        </w:trPr>
        <w:tc>
          <w:tcPr>
            <w:tcW w:w="3748" w:type="pct"/>
            <w:gridSpan w:val="2"/>
            <w:vAlign w:val="center"/>
          </w:tcPr>
          <w:p w14:paraId="703CB2F0" w14:textId="77777777" w:rsidR="00584343" w:rsidRPr="007E3D0B" w:rsidRDefault="00584343" w:rsidP="0042455F">
            <w:pPr>
              <w:pStyle w:val="Rodap"/>
              <w:spacing w:before="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Política de Investimentos</w:t>
            </w:r>
          </w:p>
        </w:tc>
        <w:tc>
          <w:tcPr>
            <w:tcW w:w="599" w:type="pct"/>
          </w:tcPr>
          <w:p w14:paraId="63A98750" w14:textId="77777777" w:rsidR="00584343" w:rsidRPr="007E3D0B" w:rsidRDefault="00584343" w:rsidP="0042455F">
            <w:pPr>
              <w:pStyle w:val="Rodap"/>
              <w:spacing w:before="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VERSÃO</w:t>
            </w:r>
          </w:p>
          <w:p w14:paraId="79B8F814" w14:textId="77777777" w:rsidR="00584343" w:rsidRPr="007E3D0B" w:rsidRDefault="00970A6A" w:rsidP="0042455F">
            <w:pPr>
              <w:pStyle w:val="Rodap"/>
              <w:spacing w:before="0"/>
              <w:jc w:val="center"/>
              <w:rPr>
                <w:rFonts w:asciiTheme="minorHAnsi" w:hAnsiTheme="minorHAnsi" w:cstheme="minorHAnsi"/>
                <w:color w:val="000000" w:themeColor="text1"/>
              </w:rPr>
            </w:pPr>
            <w:r w:rsidRPr="007E3D0B">
              <w:rPr>
                <w:rFonts w:asciiTheme="minorHAnsi" w:hAnsiTheme="minorHAnsi" w:cstheme="minorHAnsi"/>
                <w:color w:val="000000" w:themeColor="text1"/>
              </w:rPr>
              <w:t>0</w:t>
            </w:r>
            <w:r w:rsidR="00584343" w:rsidRPr="007E3D0B">
              <w:rPr>
                <w:rFonts w:asciiTheme="minorHAnsi" w:hAnsiTheme="minorHAnsi" w:cstheme="minorHAnsi"/>
                <w:color w:val="000000" w:themeColor="text1"/>
              </w:rPr>
              <w:t>1</w:t>
            </w:r>
            <w:r w:rsidR="004F3DCF" w:rsidRPr="007E3D0B">
              <w:rPr>
                <w:rFonts w:asciiTheme="minorHAnsi" w:hAnsiTheme="minorHAnsi" w:cstheme="minorHAnsi"/>
                <w:color w:val="000000" w:themeColor="text1"/>
              </w:rPr>
              <w:t>.202</w:t>
            </w:r>
            <w:r w:rsidR="00B338B5" w:rsidRPr="007E3D0B">
              <w:rPr>
                <w:rFonts w:asciiTheme="minorHAnsi" w:hAnsiTheme="minorHAnsi" w:cstheme="minorHAnsi"/>
                <w:color w:val="000000" w:themeColor="text1"/>
              </w:rPr>
              <w:t>6</w:t>
            </w:r>
          </w:p>
        </w:tc>
        <w:tc>
          <w:tcPr>
            <w:tcW w:w="653" w:type="pct"/>
          </w:tcPr>
          <w:p w14:paraId="4812064F" w14:textId="77777777" w:rsidR="00584343" w:rsidRPr="007E3D0B" w:rsidRDefault="00584343" w:rsidP="0042455F">
            <w:pPr>
              <w:pStyle w:val="Rodap"/>
              <w:spacing w:before="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APROVADO</w:t>
            </w:r>
          </w:p>
          <w:p w14:paraId="7688E607" w14:textId="544D57A6" w:rsidR="00584343" w:rsidRPr="007E3D0B" w:rsidRDefault="00D4250A" w:rsidP="0042455F">
            <w:pPr>
              <w:pStyle w:val="Rodap"/>
              <w:spacing w:before="0"/>
              <w:jc w:val="center"/>
              <w:rPr>
                <w:rFonts w:asciiTheme="minorHAnsi" w:hAnsiTheme="minorHAnsi" w:cstheme="minorHAnsi"/>
                <w:color w:val="000000" w:themeColor="text1"/>
              </w:rPr>
            </w:pPr>
            <w:r>
              <w:rPr>
                <w:rFonts w:asciiTheme="minorHAnsi" w:hAnsiTheme="minorHAnsi" w:cstheme="minorHAnsi"/>
                <w:color w:val="000000" w:themeColor="text1"/>
              </w:rPr>
              <w:t>03/12/2025</w:t>
            </w:r>
          </w:p>
        </w:tc>
      </w:tr>
      <w:tr w:rsidR="007E3D0B" w:rsidRPr="007E3D0B" w14:paraId="713F57E9" w14:textId="77777777" w:rsidTr="00B41638">
        <w:trPr>
          <w:trHeight w:val="20"/>
        </w:trPr>
        <w:tc>
          <w:tcPr>
            <w:tcW w:w="2500" w:type="pct"/>
            <w:vAlign w:val="center"/>
          </w:tcPr>
          <w:p w14:paraId="420E8671" w14:textId="77777777" w:rsidR="00584343" w:rsidRPr="007E3D0B" w:rsidRDefault="00584343" w:rsidP="0042455F">
            <w:pPr>
              <w:pStyle w:val="Rodap"/>
              <w:spacing w:before="0"/>
              <w:jc w:val="center"/>
              <w:rPr>
                <w:rFonts w:asciiTheme="minorHAnsi" w:hAnsiTheme="minorHAnsi" w:cstheme="minorHAnsi"/>
                <w:i/>
                <w:color w:val="000000" w:themeColor="text1"/>
              </w:rPr>
            </w:pPr>
            <w:r w:rsidRPr="007E3D0B">
              <w:rPr>
                <w:rFonts w:asciiTheme="minorHAnsi" w:hAnsiTheme="minorHAnsi" w:cstheme="minorHAnsi"/>
                <w:b/>
                <w:color w:val="000000" w:themeColor="text1"/>
              </w:rPr>
              <w:t>Elaboração:</w:t>
            </w:r>
            <w:r w:rsidRPr="007E3D0B">
              <w:rPr>
                <w:rFonts w:asciiTheme="minorHAnsi" w:hAnsiTheme="minorHAnsi" w:cstheme="minorHAnsi"/>
                <w:color w:val="000000" w:themeColor="text1"/>
              </w:rPr>
              <w:t xml:space="preserve"> </w:t>
            </w:r>
            <w:r w:rsidR="00D13A09" w:rsidRPr="007E3D0B">
              <w:rPr>
                <w:rFonts w:asciiTheme="minorHAnsi" w:hAnsiTheme="minorHAnsi" w:cstheme="minorHAnsi"/>
                <w:color w:val="000000" w:themeColor="text1"/>
              </w:rPr>
              <w:t xml:space="preserve">Gestor dos Recursos e </w:t>
            </w:r>
            <w:r w:rsidRPr="007E3D0B">
              <w:rPr>
                <w:rFonts w:asciiTheme="minorHAnsi" w:hAnsiTheme="minorHAnsi" w:cstheme="minorHAnsi"/>
                <w:color w:val="000000" w:themeColor="text1"/>
              </w:rPr>
              <w:t>Comitê de Investimentos</w:t>
            </w:r>
          </w:p>
        </w:tc>
        <w:tc>
          <w:tcPr>
            <w:tcW w:w="2500" w:type="pct"/>
            <w:gridSpan w:val="3"/>
            <w:vAlign w:val="center"/>
          </w:tcPr>
          <w:p w14:paraId="42487863" w14:textId="77777777" w:rsidR="00584343" w:rsidRPr="007E3D0B" w:rsidRDefault="00584343" w:rsidP="0042455F">
            <w:pPr>
              <w:pStyle w:val="Rodap"/>
              <w:spacing w:before="0"/>
              <w:jc w:val="center"/>
              <w:rPr>
                <w:rFonts w:asciiTheme="minorHAnsi" w:hAnsiTheme="minorHAnsi" w:cstheme="minorHAnsi"/>
                <w:color w:val="000000" w:themeColor="text1"/>
              </w:rPr>
            </w:pPr>
            <w:r w:rsidRPr="007E3D0B">
              <w:rPr>
                <w:rFonts w:asciiTheme="minorHAnsi" w:hAnsiTheme="minorHAnsi" w:cstheme="minorHAnsi"/>
                <w:b/>
                <w:color w:val="000000" w:themeColor="text1"/>
              </w:rPr>
              <w:t>Aprovação:</w:t>
            </w:r>
            <w:r w:rsidRPr="007E3D0B">
              <w:rPr>
                <w:rFonts w:asciiTheme="minorHAnsi" w:hAnsiTheme="minorHAnsi" w:cstheme="minorHAnsi"/>
                <w:color w:val="000000" w:themeColor="text1"/>
              </w:rPr>
              <w:t xml:space="preserve"> Conselho Deliberativo</w:t>
            </w:r>
          </w:p>
        </w:tc>
      </w:tr>
    </w:tbl>
    <w:p w14:paraId="261C7FB4" w14:textId="77777777" w:rsidR="00DE613C" w:rsidRPr="007E3D0B" w:rsidRDefault="002D5B0B" w:rsidP="006711AC">
      <w:pPr>
        <w:rPr>
          <w:rFonts w:asciiTheme="minorHAnsi" w:hAnsiTheme="minorHAnsi" w:cstheme="minorHAnsi"/>
          <w:color w:val="000000" w:themeColor="text1"/>
        </w:rPr>
      </w:pPr>
      <w:r w:rsidRPr="007E3D0B">
        <w:rPr>
          <w:rFonts w:asciiTheme="minorHAnsi" w:hAnsiTheme="minorHAnsi" w:cstheme="minorHAnsi"/>
          <w:color w:val="000000" w:themeColor="text1"/>
        </w:rPr>
        <w:br w:type="page"/>
      </w:r>
    </w:p>
    <w:p w14:paraId="2E5BF22F" w14:textId="77777777" w:rsidR="006711AC" w:rsidRPr="007E3D0B" w:rsidRDefault="006711AC" w:rsidP="00FD2603">
      <w:pPr>
        <w:jc w:val="center"/>
        <w:rPr>
          <w:rFonts w:asciiTheme="minorHAnsi" w:eastAsiaTheme="majorEastAsia" w:hAnsiTheme="minorHAnsi" w:cstheme="minorHAnsi"/>
          <w:b/>
          <w:color w:val="000000" w:themeColor="text1"/>
          <w:sz w:val="28"/>
          <w:szCs w:val="28"/>
        </w:rPr>
      </w:pPr>
      <w:r w:rsidRPr="007E3D0B">
        <w:rPr>
          <w:rFonts w:asciiTheme="minorHAnsi" w:eastAsiaTheme="majorEastAsia" w:hAnsiTheme="minorHAnsi" w:cstheme="minorHAnsi"/>
          <w:b/>
          <w:color w:val="000000" w:themeColor="text1"/>
          <w:sz w:val="28"/>
          <w:szCs w:val="28"/>
        </w:rPr>
        <w:lastRenderedPageBreak/>
        <w:t>SUMÁRIO</w:t>
      </w:r>
    </w:p>
    <w:p w14:paraId="34E37584" w14:textId="527288E6" w:rsidR="007E3D0B" w:rsidRPr="007E3D0B" w:rsidRDefault="00B94966">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r w:rsidRPr="007E3D0B">
        <w:rPr>
          <w:rFonts w:asciiTheme="minorHAnsi" w:hAnsiTheme="minorHAnsi" w:cstheme="minorHAnsi"/>
          <w:color w:val="000000" w:themeColor="text1"/>
        </w:rPr>
        <w:fldChar w:fldCharType="begin"/>
      </w:r>
      <w:r w:rsidRPr="007E3D0B">
        <w:rPr>
          <w:rFonts w:asciiTheme="minorHAnsi" w:hAnsiTheme="minorHAnsi" w:cstheme="minorHAnsi"/>
          <w:color w:val="000000" w:themeColor="text1"/>
        </w:rPr>
        <w:instrText xml:space="preserve"> TOC \o "1-1" \h \z \u </w:instrText>
      </w:r>
      <w:r w:rsidRPr="007E3D0B">
        <w:rPr>
          <w:rFonts w:asciiTheme="minorHAnsi" w:hAnsiTheme="minorHAnsi" w:cstheme="minorHAnsi"/>
          <w:color w:val="000000" w:themeColor="text1"/>
        </w:rPr>
        <w:fldChar w:fldCharType="separate"/>
      </w:r>
      <w:hyperlink w:anchor="_Toc213399427" w:history="1">
        <w:r w:rsidR="007E3D0B" w:rsidRPr="007E3D0B">
          <w:rPr>
            <w:rStyle w:val="Hyperlink"/>
            <w:rFonts w:asciiTheme="minorHAnsi" w:hAnsiTheme="minorHAnsi" w:cstheme="minorHAnsi"/>
            <w:noProof/>
          </w:rPr>
          <w:t>1.</w:t>
        </w:r>
        <w:r w:rsidR="007E3D0B" w:rsidRPr="007E3D0B">
          <w:rPr>
            <w:rFonts w:asciiTheme="minorHAnsi" w:eastAsiaTheme="minorEastAsia" w:hAnsiTheme="minorHAnsi" w:cstheme="minorHAnsi"/>
            <w:noProof/>
            <w:color w:val="auto"/>
            <w:kern w:val="2"/>
            <w:sz w:val="24"/>
            <w:szCs w:val="24"/>
            <w:lang w:eastAsia="pt-BR"/>
            <w14:ligatures w14:val="standardContextual"/>
          </w:rPr>
          <w:tab/>
        </w:r>
        <w:r w:rsidR="007E3D0B" w:rsidRPr="007E3D0B">
          <w:rPr>
            <w:rStyle w:val="Hyperlink"/>
            <w:rFonts w:asciiTheme="minorHAnsi" w:hAnsiTheme="minorHAnsi" w:cstheme="minorHAnsi"/>
            <w:noProof/>
          </w:rPr>
          <w:t>INTRODUÇÃO</w:t>
        </w:r>
        <w:r w:rsidR="007E3D0B" w:rsidRPr="007E3D0B">
          <w:rPr>
            <w:rFonts w:asciiTheme="minorHAnsi" w:hAnsiTheme="minorHAnsi" w:cstheme="minorHAnsi"/>
            <w:noProof/>
            <w:webHidden/>
          </w:rPr>
          <w:tab/>
        </w:r>
        <w:r w:rsidR="007E3D0B" w:rsidRPr="007E3D0B">
          <w:rPr>
            <w:rFonts w:asciiTheme="minorHAnsi" w:hAnsiTheme="minorHAnsi" w:cstheme="minorHAnsi"/>
            <w:noProof/>
            <w:webHidden/>
          </w:rPr>
          <w:fldChar w:fldCharType="begin"/>
        </w:r>
        <w:r w:rsidR="007E3D0B" w:rsidRPr="007E3D0B">
          <w:rPr>
            <w:rFonts w:asciiTheme="minorHAnsi" w:hAnsiTheme="minorHAnsi" w:cstheme="minorHAnsi"/>
            <w:noProof/>
            <w:webHidden/>
          </w:rPr>
          <w:instrText xml:space="preserve"> PAGEREF _Toc213399427 \h </w:instrText>
        </w:r>
        <w:r w:rsidR="007E3D0B" w:rsidRPr="007E3D0B">
          <w:rPr>
            <w:rFonts w:asciiTheme="minorHAnsi" w:hAnsiTheme="minorHAnsi" w:cstheme="minorHAnsi"/>
            <w:noProof/>
            <w:webHidden/>
          </w:rPr>
        </w:r>
        <w:r w:rsidR="007E3D0B" w:rsidRPr="007E3D0B">
          <w:rPr>
            <w:rFonts w:asciiTheme="minorHAnsi" w:hAnsiTheme="minorHAnsi" w:cstheme="minorHAnsi"/>
            <w:noProof/>
            <w:webHidden/>
          </w:rPr>
          <w:fldChar w:fldCharType="separate"/>
        </w:r>
        <w:r w:rsidR="00E545B4">
          <w:rPr>
            <w:rFonts w:asciiTheme="minorHAnsi" w:hAnsiTheme="minorHAnsi" w:cstheme="minorHAnsi"/>
            <w:noProof/>
            <w:webHidden/>
          </w:rPr>
          <w:t>3</w:t>
        </w:r>
        <w:r w:rsidR="007E3D0B" w:rsidRPr="007E3D0B">
          <w:rPr>
            <w:rFonts w:asciiTheme="minorHAnsi" w:hAnsiTheme="minorHAnsi" w:cstheme="minorHAnsi"/>
            <w:noProof/>
            <w:webHidden/>
          </w:rPr>
          <w:fldChar w:fldCharType="end"/>
        </w:r>
      </w:hyperlink>
    </w:p>
    <w:p w14:paraId="15201F59" w14:textId="3878E0BA"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28" w:history="1">
        <w:r w:rsidRPr="007E3D0B">
          <w:rPr>
            <w:rStyle w:val="Hyperlink"/>
            <w:rFonts w:asciiTheme="minorHAnsi" w:hAnsiTheme="minorHAnsi" w:cstheme="minorHAnsi"/>
            <w:noProof/>
          </w:rPr>
          <w:t>2.</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OBJETIVO</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_Toc213399428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3</w:t>
        </w:r>
        <w:r w:rsidRPr="007E3D0B">
          <w:rPr>
            <w:rFonts w:asciiTheme="minorHAnsi" w:hAnsiTheme="minorHAnsi" w:cstheme="minorHAnsi"/>
            <w:noProof/>
            <w:webHidden/>
          </w:rPr>
          <w:fldChar w:fldCharType="end"/>
        </w:r>
      </w:hyperlink>
    </w:p>
    <w:p w14:paraId="0C5F5D5F" w14:textId="39F8D38E"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29" w:history="1">
        <w:r w:rsidRPr="007E3D0B">
          <w:rPr>
            <w:rStyle w:val="Hyperlink"/>
            <w:rFonts w:asciiTheme="minorHAnsi" w:hAnsiTheme="minorHAnsi" w:cstheme="minorHAnsi"/>
            <w:noProof/>
          </w:rPr>
          <w:t>3.</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CATEGORIZAÇÃO DO RPPS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_Toc213399429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w:t>
        </w:r>
        <w:r w:rsidRPr="007E3D0B">
          <w:rPr>
            <w:rFonts w:asciiTheme="minorHAnsi" w:hAnsiTheme="minorHAnsi" w:cstheme="minorHAnsi"/>
            <w:noProof/>
            <w:webHidden/>
          </w:rPr>
          <w:fldChar w:fldCharType="end"/>
        </w:r>
      </w:hyperlink>
    </w:p>
    <w:p w14:paraId="418DB64A" w14:textId="2E59BA94"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0" w:history="1">
        <w:r w:rsidRPr="007E3D0B">
          <w:rPr>
            <w:rStyle w:val="Hyperlink"/>
            <w:rFonts w:asciiTheme="minorHAnsi" w:hAnsiTheme="minorHAnsi" w:cstheme="minorHAnsi"/>
            <w:noProof/>
          </w:rPr>
          <w:t>4.</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ESTRUTURA DE GESTÃO E GOVERNANÇA</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_Toc213399430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5</w:t>
        </w:r>
        <w:r w:rsidRPr="007E3D0B">
          <w:rPr>
            <w:rFonts w:asciiTheme="minorHAnsi" w:hAnsiTheme="minorHAnsi" w:cstheme="minorHAnsi"/>
            <w:noProof/>
            <w:webHidden/>
          </w:rPr>
          <w:fldChar w:fldCharType="end"/>
        </w:r>
      </w:hyperlink>
    </w:p>
    <w:p w14:paraId="7497183C" w14:textId="11876E2D"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1" w:history="1">
        <w:r w:rsidRPr="007E3D0B">
          <w:rPr>
            <w:rStyle w:val="Hyperlink"/>
            <w:rFonts w:asciiTheme="minorHAnsi" w:hAnsiTheme="minorHAnsi" w:cstheme="minorHAnsi"/>
            <w:noProof/>
          </w:rPr>
          <w:t>5.</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META DE RENTABILIDADE</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_Toc213399431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8</w:t>
        </w:r>
        <w:r w:rsidRPr="007E3D0B">
          <w:rPr>
            <w:rFonts w:asciiTheme="minorHAnsi" w:hAnsiTheme="minorHAnsi" w:cstheme="minorHAnsi"/>
            <w:noProof/>
            <w:webHidden/>
          </w:rPr>
          <w:fldChar w:fldCharType="end"/>
        </w:r>
      </w:hyperlink>
    </w:p>
    <w:p w14:paraId="6389B074" w14:textId="253D5EF3"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2" w:history="1">
        <w:r w:rsidRPr="007E3D0B">
          <w:rPr>
            <w:rStyle w:val="Hyperlink"/>
            <w:rFonts w:asciiTheme="minorHAnsi" w:hAnsiTheme="minorHAnsi" w:cstheme="minorHAnsi"/>
            <w:noProof/>
          </w:rPr>
          <w:t>6.</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ALOCAÇÃO ESTRATÉGICA DOS RECURSOS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_Toc213399432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8</w:t>
        </w:r>
        <w:r w:rsidRPr="007E3D0B">
          <w:rPr>
            <w:rFonts w:asciiTheme="minorHAnsi" w:hAnsiTheme="minorHAnsi" w:cstheme="minorHAnsi"/>
            <w:noProof/>
            <w:webHidden/>
          </w:rPr>
          <w:fldChar w:fldCharType="end"/>
        </w:r>
      </w:hyperlink>
    </w:p>
    <w:p w14:paraId="34433951" w14:textId="73DE550A"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3" w:history="1">
        <w:r w:rsidRPr="007E3D0B">
          <w:rPr>
            <w:rStyle w:val="Hyperlink"/>
            <w:rFonts w:asciiTheme="minorHAnsi" w:hAnsiTheme="minorHAnsi" w:cstheme="minorHAnsi"/>
            <w:noProof/>
          </w:rPr>
          <w:t>7.</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EMPRÉSTIMO CONSIGNADO</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_Toc213399433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17</w:t>
        </w:r>
        <w:r w:rsidRPr="007E3D0B">
          <w:rPr>
            <w:rFonts w:asciiTheme="minorHAnsi" w:hAnsiTheme="minorHAnsi" w:cstheme="minorHAnsi"/>
            <w:noProof/>
            <w:webHidden/>
          </w:rPr>
          <w:fldChar w:fldCharType="end"/>
        </w:r>
      </w:hyperlink>
    </w:p>
    <w:p w14:paraId="11FAB6D7" w14:textId="20C7B60B"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4" w:history="1">
        <w:r w:rsidRPr="007E3D0B">
          <w:rPr>
            <w:rStyle w:val="Hyperlink"/>
            <w:rFonts w:asciiTheme="minorHAnsi" w:hAnsiTheme="minorHAnsi" w:cstheme="minorHAnsi"/>
            <w:noProof/>
          </w:rPr>
          <w:t>8.</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CONTROLE DE RISCO</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_Toc213399434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22</w:t>
        </w:r>
        <w:r w:rsidRPr="007E3D0B">
          <w:rPr>
            <w:rFonts w:asciiTheme="minorHAnsi" w:hAnsiTheme="minorHAnsi" w:cstheme="minorHAnsi"/>
            <w:noProof/>
            <w:webHidden/>
          </w:rPr>
          <w:fldChar w:fldCharType="end"/>
        </w:r>
      </w:hyperlink>
    </w:p>
    <w:p w14:paraId="5A45047C" w14:textId="08B44EC3"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5" w:history="1">
        <w:r w:rsidRPr="007E3D0B">
          <w:rPr>
            <w:rStyle w:val="Hyperlink"/>
            <w:rFonts w:asciiTheme="minorHAnsi" w:hAnsiTheme="minorHAnsi" w:cstheme="minorHAnsi"/>
            <w:noProof/>
          </w:rPr>
          <w:t>9.</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ESTUDO DE ALM - ASSET LIABILITY MANAGEMENT</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_Toc213399435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27</w:t>
        </w:r>
        <w:r w:rsidRPr="007E3D0B">
          <w:rPr>
            <w:rFonts w:asciiTheme="minorHAnsi" w:hAnsiTheme="minorHAnsi" w:cstheme="minorHAnsi"/>
            <w:noProof/>
            <w:webHidden/>
          </w:rPr>
          <w:fldChar w:fldCharType="end"/>
        </w:r>
      </w:hyperlink>
    </w:p>
    <w:p w14:paraId="24C9F399" w14:textId="580FC8C2"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6" w:history="1">
        <w:r w:rsidRPr="007E3D0B">
          <w:rPr>
            <w:rStyle w:val="Hyperlink"/>
            <w:rFonts w:asciiTheme="minorHAnsi" w:hAnsiTheme="minorHAnsi" w:cstheme="minorHAnsi"/>
            <w:noProof/>
          </w:rPr>
          <w:t>10.</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EQUILÍBRIO ECONÔMICO E FINANCEIRO</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_Toc213399436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28</w:t>
        </w:r>
        <w:r w:rsidRPr="007E3D0B">
          <w:rPr>
            <w:rFonts w:asciiTheme="minorHAnsi" w:hAnsiTheme="minorHAnsi" w:cstheme="minorHAnsi"/>
            <w:noProof/>
            <w:webHidden/>
          </w:rPr>
          <w:fldChar w:fldCharType="end"/>
        </w:r>
      </w:hyperlink>
    </w:p>
    <w:p w14:paraId="7292F34B" w14:textId="3992291E"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7" w:history="1">
        <w:r w:rsidRPr="007E3D0B">
          <w:rPr>
            <w:rStyle w:val="Hyperlink"/>
            <w:rFonts w:asciiTheme="minorHAnsi" w:hAnsiTheme="minorHAnsi" w:cstheme="minorHAnsi"/>
            <w:noProof/>
          </w:rPr>
          <w:t>11.</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POLÍTICA DE TRANSPARÊNCIA</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_Toc213399437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28</w:t>
        </w:r>
        <w:r w:rsidRPr="007E3D0B">
          <w:rPr>
            <w:rFonts w:asciiTheme="minorHAnsi" w:hAnsiTheme="minorHAnsi" w:cstheme="minorHAnsi"/>
            <w:noProof/>
            <w:webHidden/>
          </w:rPr>
          <w:fldChar w:fldCharType="end"/>
        </w:r>
      </w:hyperlink>
    </w:p>
    <w:p w14:paraId="0A8C85BA" w14:textId="37568448"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8" w:history="1">
        <w:r w:rsidRPr="007E3D0B">
          <w:rPr>
            <w:rStyle w:val="Hyperlink"/>
            <w:rFonts w:asciiTheme="minorHAnsi" w:hAnsiTheme="minorHAnsi" w:cstheme="minorHAnsi"/>
            <w:noProof/>
          </w:rPr>
          <w:t>12.</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CREDENCIAMENTO E DUE DILIGENCE</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_Toc213399438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29</w:t>
        </w:r>
        <w:r w:rsidRPr="007E3D0B">
          <w:rPr>
            <w:rFonts w:asciiTheme="minorHAnsi" w:hAnsiTheme="minorHAnsi" w:cstheme="minorHAnsi"/>
            <w:noProof/>
            <w:webHidden/>
          </w:rPr>
          <w:fldChar w:fldCharType="end"/>
        </w:r>
      </w:hyperlink>
    </w:p>
    <w:p w14:paraId="4BF2DF40" w14:textId="404F067C"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39" w:history="1">
        <w:r w:rsidRPr="007E3D0B">
          <w:rPr>
            <w:rStyle w:val="Hyperlink"/>
            <w:rFonts w:asciiTheme="minorHAnsi" w:hAnsiTheme="minorHAnsi" w:cstheme="minorHAnsi"/>
            <w:noProof/>
          </w:rPr>
          <w:t>13.</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PRECIFICAÇÃO DE ATIVOS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_Toc213399439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34</w:t>
        </w:r>
        <w:r w:rsidRPr="007E3D0B">
          <w:rPr>
            <w:rFonts w:asciiTheme="minorHAnsi" w:hAnsiTheme="minorHAnsi" w:cstheme="minorHAnsi"/>
            <w:noProof/>
            <w:webHidden/>
          </w:rPr>
          <w:fldChar w:fldCharType="end"/>
        </w:r>
      </w:hyperlink>
    </w:p>
    <w:p w14:paraId="3F6B7A4F" w14:textId="7098346D"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0" w:history="1">
        <w:r w:rsidRPr="007E3D0B">
          <w:rPr>
            <w:rStyle w:val="Hyperlink"/>
            <w:rFonts w:asciiTheme="minorHAnsi" w:hAnsiTheme="minorHAnsi" w:cstheme="minorHAnsi"/>
            <w:noProof/>
          </w:rPr>
          <w:t>14.</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FONTES PRIMÁRIAS DE INFORMAÇÕES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_Toc213399440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40</w:t>
        </w:r>
        <w:r w:rsidRPr="007E3D0B">
          <w:rPr>
            <w:rFonts w:asciiTheme="minorHAnsi" w:hAnsiTheme="minorHAnsi" w:cstheme="minorHAnsi"/>
            <w:noProof/>
            <w:webHidden/>
          </w:rPr>
          <w:fldChar w:fldCharType="end"/>
        </w:r>
      </w:hyperlink>
    </w:p>
    <w:p w14:paraId="193FFD4C" w14:textId="5F0BD99A"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1" w:history="1">
        <w:r w:rsidRPr="007E3D0B">
          <w:rPr>
            <w:rStyle w:val="Hyperlink"/>
            <w:rFonts w:asciiTheme="minorHAnsi" w:hAnsiTheme="minorHAnsi" w:cstheme="minorHAnsi"/>
            <w:noProof/>
          </w:rPr>
          <w:t>15.</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POLÍTICA DE ACOMPANHAMENTO E AVALIAÇÃO</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_Toc213399441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40</w:t>
        </w:r>
        <w:r w:rsidRPr="007E3D0B">
          <w:rPr>
            <w:rFonts w:asciiTheme="minorHAnsi" w:hAnsiTheme="minorHAnsi" w:cstheme="minorHAnsi"/>
            <w:noProof/>
            <w:webHidden/>
          </w:rPr>
          <w:fldChar w:fldCharType="end"/>
        </w:r>
      </w:hyperlink>
    </w:p>
    <w:p w14:paraId="46E502DB" w14:textId="13640522"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2" w:history="1">
        <w:r w:rsidRPr="007E3D0B">
          <w:rPr>
            <w:rStyle w:val="Hyperlink"/>
            <w:rFonts w:asciiTheme="minorHAnsi" w:hAnsiTheme="minorHAnsi" w:cstheme="minorHAnsi"/>
            <w:noProof/>
          </w:rPr>
          <w:t>16.</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PLANO DE CONTINGÊNCIA</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_Toc213399442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41</w:t>
        </w:r>
        <w:r w:rsidRPr="007E3D0B">
          <w:rPr>
            <w:rFonts w:asciiTheme="minorHAnsi" w:hAnsiTheme="minorHAnsi" w:cstheme="minorHAnsi"/>
            <w:noProof/>
            <w:webHidden/>
          </w:rPr>
          <w:fldChar w:fldCharType="end"/>
        </w:r>
      </w:hyperlink>
    </w:p>
    <w:p w14:paraId="5AAB78E1" w14:textId="631D8A3E"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3" w:history="1">
        <w:r w:rsidRPr="007E3D0B">
          <w:rPr>
            <w:rStyle w:val="Hyperlink"/>
            <w:rFonts w:asciiTheme="minorHAnsi" w:hAnsiTheme="minorHAnsi" w:cstheme="minorHAnsi"/>
            <w:noProof/>
          </w:rPr>
          <w:t>17.</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CONTROLES INTERNOS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_Toc213399443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43</w:t>
        </w:r>
        <w:r w:rsidRPr="007E3D0B">
          <w:rPr>
            <w:rFonts w:asciiTheme="minorHAnsi" w:hAnsiTheme="minorHAnsi" w:cstheme="minorHAnsi"/>
            <w:noProof/>
            <w:webHidden/>
          </w:rPr>
          <w:fldChar w:fldCharType="end"/>
        </w:r>
      </w:hyperlink>
    </w:p>
    <w:p w14:paraId="7F492A19" w14:textId="568501EF"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4" w:history="1">
        <w:r w:rsidRPr="007E3D0B">
          <w:rPr>
            <w:rStyle w:val="Hyperlink"/>
            <w:rFonts w:asciiTheme="minorHAnsi" w:hAnsiTheme="minorHAnsi" w:cstheme="minorHAnsi"/>
            <w:noProof/>
          </w:rPr>
          <w:t>18.</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DISPOSIÇÕES GERAIS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_Toc213399444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44</w:t>
        </w:r>
        <w:r w:rsidRPr="007E3D0B">
          <w:rPr>
            <w:rFonts w:asciiTheme="minorHAnsi" w:hAnsiTheme="minorHAnsi" w:cstheme="minorHAnsi"/>
            <w:noProof/>
            <w:webHidden/>
          </w:rPr>
          <w:fldChar w:fldCharType="end"/>
        </w:r>
      </w:hyperlink>
    </w:p>
    <w:p w14:paraId="34E10388" w14:textId="15434A89" w:rsidR="007E3D0B" w:rsidRPr="007E3D0B" w:rsidRDefault="007E3D0B">
      <w:pPr>
        <w:pStyle w:val="Sumrio1"/>
        <w:tabs>
          <w:tab w:val="left" w:pos="720"/>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5" w:history="1">
        <w:r w:rsidRPr="007E3D0B">
          <w:rPr>
            <w:rStyle w:val="Hyperlink"/>
            <w:rFonts w:asciiTheme="minorHAnsi" w:hAnsiTheme="minorHAnsi" w:cstheme="minorHAnsi"/>
            <w:noProof/>
          </w:rPr>
          <w:t>19.</w:t>
        </w:r>
        <w:r w:rsidRPr="007E3D0B">
          <w:rPr>
            <w:rFonts w:asciiTheme="minorHAnsi" w:eastAsiaTheme="minorEastAsia" w:hAnsiTheme="minorHAnsi" w:cstheme="minorHAnsi"/>
            <w:noProof/>
            <w:color w:val="auto"/>
            <w:kern w:val="2"/>
            <w:sz w:val="24"/>
            <w:szCs w:val="24"/>
            <w:lang w:eastAsia="pt-BR"/>
            <w14:ligatures w14:val="standardContextual"/>
          </w:rPr>
          <w:tab/>
        </w:r>
        <w:r w:rsidRPr="007E3D0B">
          <w:rPr>
            <w:rStyle w:val="Hyperlink"/>
            <w:rFonts w:asciiTheme="minorHAnsi" w:hAnsiTheme="minorHAnsi" w:cstheme="minorHAnsi"/>
            <w:noProof/>
          </w:rPr>
          <w:t>ASSINATURAS</w:t>
        </w:r>
        <w:r w:rsidRPr="007E3D0B">
          <w:rPr>
            <w:rFonts w:asciiTheme="minorHAnsi" w:hAnsiTheme="minorHAnsi" w:cstheme="minorHAnsi"/>
            <w:noProof/>
            <w:webHidden/>
          </w:rPr>
          <w:tab/>
        </w:r>
        <w:r w:rsidRPr="007E3D0B">
          <w:rPr>
            <w:rFonts w:asciiTheme="minorHAnsi" w:hAnsiTheme="minorHAnsi" w:cstheme="minorHAnsi"/>
            <w:noProof/>
            <w:webHidden/>
          </w:rPr>
          <w:fldChar w:fldCharType="begin"/>
        </w:r>
        <w:r w:rsidRPr="007E3D0B">
          <w:rPr>
            <w:rFonts w:asciiTheme="minorHAnsi" w:hAnsiTheme="minorHAnsi" w:cstheme="minorHAnsi"/>
            <w:noProof/>
            <w:webHidden/>
          </w:rPr>
          <w:instrText xml:space="preserve"> PAGEREF _Toc213399445 \h </w:instrText>
        </w:r>
        <w:r w:rsidRPr="007E3D0B">
          <w:rPr>
            <w:rFonts w:asciiTheme="minorHAnsi" w:hAnsiTheme="minorHAnsi" w:cstheme="minorHAnsi"/>
            <w:noProof/>
            <w:webHidden/>
          </w:rPr>
        </w:r>
        <w:r w:rsidRPr="007E3D0B">
          <w:rPr>
            <w:rFonts w:asciiTheme="minorHAnsi" w:hAnsiTheme="minorHAnsi" w:cstheme="minorHAnsi"/>
            <w:noProof/>
            <w:webHidden/>
          </w:rPr>
          <w:fldChar w:fldCharType="separate"/>
        </w:r>
        <w:r w:rsidR="00E545B4">
          <w:rPr>
            <w:rFonts w:asciiTheme="minorHAnsi" w:hAnsiTheme="minorHAnsi" w:cstheme="minorHAnsi"/>
            <w:noProof/>
            <w:webHidden/>
          </w:rPr>
          <w:t>45</w:t>
        </w:r>
        <w:r w:rsidRPr="007E3D0B">
          <w:rPr>
            <w:rFonts w:asciiTheme="minorHAnsi" w:hAnsiTheme="minorHAnsi" w:cstheme="minorHAnsi"/>
            <w:noProof/>
            <w:webHidden/>
          </w:rPr>
          <w:fldChar w:fldCharType="end"/>
        </w:r>
      </w:hyperlink>
    </w:p>
    <w:p w14:paraId="37515B63" w14:textId="7AFD0492" w:rsidR="007E3D0B" w:rsidRPr="007E3D0B" w:rsidRDefault="007E3D0B">
      <w:pPr>
        <w:pStyle w:val="Sumrio1"/>
        <w:tabs>
          <w:tab w:val="right" w:leader="dot" w:pos="9628"/>
        </w:tabs>
        <w:rPr>
          <w:rFonts w:asciiTheme="minorHAnsi" w:eastAsiaTheme="minorEastAsia" w:hAnsiTheme="minorHAnsi" w:cstheme="minorHAnsi"/>
          <w:noProof/>
          <w:color w:val="auto"/>
          <w:kern w:val="2"/>
          <w:sz w:val="24"/>
          <w:szCs w:val="24"/>
          <w:lang w:eastAsia="pt-BR"/>
          <w14:ligatures w14:val="standardContextual"/>
        </w:rPr>
      </w:pPr>
      <w:hyperlink w:anchor="_Toc213399446" w:history="1">
        <w:r w:rsidRPr="004C72F8">
          <w:rPr>
            <w:rStyle w:val="Hyperlink"/>
            <w:rFonts w:asciiTheme="minorHAnsi" w:hAnsiTheme="minorHAnsi" w:cstheme="minorHAnsi"/>
            <w:noProof/>
          </w:rPr>
          <w:t>ANEXO I – PANORAMA ECONÔMICO</w:t>
        </w:r>
        <w:r w:rsidRPr="004C72F8">
          <w:rPr>
            <w:rFonts w:asciiTheme="minorHAnsi" w:hAnsiTheme="minorHAnsi" w:cstheme="minorHAnsi"/>
            <w:noProof/>
            <w:webHidden/>
          </w:rPr>
          <w:tab/>
        </w:r>
        <w:r w:rsidRPr="004C72F8">
          <w:rPr>
            <w:rFonts w:asciiTheme="minorHAnsi" w:hAnsiTheme="minorHAnsi" w:cstheme="minorHAnsi"/>
            <w:noProof/>
            <w:webHidden/>
          </w:rPr>
          <w:fldChar w:fldCharType="begin"/>
        </w:r>
        <w:r w:rsidRPr="004C72F8">
          <w:rPr>
            <w:rFonts w:asciiTheme="minorHAnsi" w:hAnsiTheme="minorHAnsi" w:cstheme="minorHAnsi"/>
            <w:noProof/>
            <w:webHidden/>
          </w:rPr>
          <w:instrText xml:space="preserve"> PAGEREF _Toc213399446 \h </w:instrText>
        </w:r>
        <w:r w:rsidRPr="004C72F8">
          <w:rPr>
            <w:rFonts w:asciiTheme="minorHAnsi" w:hAnsiTheme="minorHAnsi" w:cstheme="minorHAnsi"/>
            <w:noProof/>
            <w:webHidden/>
          </w:rPr>
        </w:r>
        <w:r w:rsidRPr="004C72F8">
          <w:rPr>
            <w:rFonts w:asciiTheme="minorHAnsi" w:hAnsiTheme="minorHAnsi" w:cstheme="minorHAnsi"/>
            <w:noProof/>
            <w:webHidden/>
          </w:rPr>
          <w:fldChar w:fldCharType="separate"/>
        </w:r>
        <w:r w:rsidR="00E545B4" w:rsidRPr="004C72F8">
          <w:rPr>
            <w:rFonts w:asciiTheme="minorHAnsi" w:hAnsiTheme="minorHAnsi" w:cstheme="minorHAnsi"/>
            <w:noProof/>
            <w:webHidden/>
          </w:rPr>
          <w:t>47</w:t>
        </w:r>
        <w:r w:rsidRPr="004C72F8">
          <w:rPr>
            <w:rFonts w:asciiTheme="minorHAnsi" w:hAnsiTheme="minorHAnsi" w:cstheme="minorHAnsi"/>
            <w:noProof/>
            <w:webHidden/>
          </w:rPr>
          <w:fldChar w:fldCharType="end"/>
        </w:r>
      </w:hyperlink>
    </w:p>
    <w:p w14:paraId="4630F4BF" w14:textId="472BBCC8" w:rsidR="006711AC" w:rsidRPr="007E3D0B" w:rsidRDefault="00B94966" w:rsidP="005F0F91">
      <w:pPr>
        <w:rPr>
          <w:rFonts w:asciiTheme="minorHAnsi" w:hAnsiTheme="minorHAnsi" w:cstheme="minorHAnsi"/>
          <w:color w:val="000000" w:themeColor="text1"/>
        </w:rPr>
      </w:pPr>
      <w:r w:rsidRPr="007E3D0B">
        <w:rPr>
          <w:rFonts w:asciiTheme="minorHAnsi" w:hAnsiTheme="minorHAnsi" w:cstheme="minorHAnsi"/>
          <w:color w:val="000000" w:themeColor="text1"/>
        </w:rPr>
        <w:fldChar w:fldCharType="end"/>
      </w:r>
      <w:r w:rsidR="006711AC" w:rsidRPr="007E3D0B">
        <w:rPr>
          <w:rFonts w:asciiTheme="minorHAnsi" w:hAnsiTheme="minorHAnsi" w:cstheme="minorHAnsi"/>
          <w:color w:val="000000" w:themeColor="text1"/>
        </w:rPr>
        <w:br w:type="page"/>
      </w:r>
    </w:p>
    <w:p w14:paraId="5F2A0CE4" w14:textId="77777777" w:rsidR="00500AE2" w:rsidRPr="007E3D0B" w:rsidRDefault="00500AE2" w:rsidP="00C8521E">
      <w:pPr>
        <w:pStyle w:val="Ttulo1"/>
        <w:rPr>
          <w:rFonts w:asciiTheme="minorHAnsi" w:hAnsiTheme="minorHAnsi" w:cstheme="minorHAnsi"/>
          <w:color w:val="000000" w:themeColor="text1"/>
          <w:sz w:val="22"/>
          <w:szCs w:val="22"/>
        </w:rPr>
      </w:pPr>
      <w:bookmarkStart w:id="0" w:name="_Toc435202736"/>
      <w:bookmarkStart w:id="1" w:name="_Toc118105125"/>
      <w:bookmarkStart w:id="2" w:name="_Toc213399427"/>
      <w:r w:rsidRPr="007E3D0B">
        <w:rPr>
          <w:rFonts w:asciiTheme="minorHAnsi" w:hAnsiTheme="minorHAnsi" w:cstheme="minorHAnsi"/>
          <w:color w:val="000000" w:themeColor="text1"/>
          <w:sz w:val="22"/>
          <w:szCs w:val="22"/>
        </w:rPr>
        <w:lastRenderedPageBreak/>
        <w:t>INTRODUÇÃO</w:t>
      </w:r>
      <w:bookmarkEnd w:id="0"/>
      <w:bookmarkEnd w:id="1"/>
      <w:bookmarkEnd w:id="2"/>
    </w:p>
    <w:p w14:paraId="6B3D67EF" w14:textId="77777777" w:rsidR="00FD0434" w:rsidRPr="007E3D0B" w:rsidRDefault="00FD0434" w:rsidP="00FD043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presente Política de Investimentos tem como propósito estabelecer os fundamentos que nortearão a aplicação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Trata-se de um documento estratégico que reflete o compromisso da unidade gestora com a boa governança, a sustentabilidade e a proteção do patrimônio previdenciário.</w:t>
      </w:r>
    </w:p>
    <w:p w14:paraId="2DC92540" w14:textId="77777777" w:rsidR="00FD0434" w:rsidRPr="007E3D0B" w:rsidRDefault="00FD0434" w:rsidP="00FD0434">
      <w:pPr>
        <w:rPr>
          <w:rFonts w:asciiTheme="minorHAnsi" w:hAnsiTheme="minorHAnsi" w:cstheme="minorHAnsi"/>
          <w:bCs/>
          <w:color w:val="000000" w:themeColor="text1"/>
        </w:rPr>
      </w:pPr>
      <w:r w:rsidRPr="007E3D0B">
        <w:rPr>
          <w:rFonts w:asciiTheme="minorHAnsi" w:hAnsiTheme="minorHAnsi" w:cstheme="minorHAnsi"/>
          <w:bCs/>
          <w:color w:val="000000" w:themeColor="text1"/>
        </w:rPr>
        <w:t>Este instrumento busca assegurar que as decisões de investimento sejam tomadas de forma planejada, responsável e transparente, garantindo o alinhamento entre os recursos financeiros disponíveis e as obrigações previdenciárias assumidas. Para tanto, define diretrizes, limites, critérios de risco e mecanismos de acompanhamento que permitem à gestão previdenciária atuar de maneira prudente e eficiente.</w:t>
      </w:r>
    </w:p>
    <w:p w14:paraId="18A6D19C" w14:textId="77777777" w:rsidR="00FD0434" w:rsidRPr="007E3D0B" w:rsidRDefault="00FD0434" w:rsidP="00FD0434">
      <w:pPr>
        <w:rPr>
          <w:rFonts w:asciiTheme="minorHAnsi" w:hAnsiTheme="minorHAnsi" w:cstheme="minorHAnsi"/>
          <w:bCs/>
          <w:color w:val="000000" w:themeColor="text1"/>
        </w:rPr>
      </w:pPr>
      <w:r w:rsidRPr="007E3D0B">
        <w:rPr>
          <w:rFonts w:asciiTheme="minorHAnsi" w:hAnsiTheme="minorHAnsi" w:cstheme="minorHAnsi"/>
          <w:bCs/>
          <w:color w:val="000000" w:themeColor="text1"/>
        </w:rPr>
        <w:t>A Política de Investimentos é também um instrumento de comunicação e prestação de contas à sociedade, aos segurados e beneficiários, bem como aos órgãos de controle. Sua função é demonstrar a seriedade com que a unidade gestora administra recursos de natureza pública, adotando práticas que privilegiam a segurança, a liquidez, a rentabilidade e a solvência, sempre em equilíbrio com os objetivos previdenciários de longo prazo.</w:t>
      </w:r>
    </w:p>
    <w:p w14:paraId="436D0BFD" w14:textId="2EA9197E" w:rsidR="00500AE2" w:rsidRPr="007E3D0B" w:rsidRDefault="00FD0434" w:rsidP="00FD043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Assim, </w:t>
      </w:r>
      <w:r w:rsidR="00ED4E76" w:rsidRPr="007E3D0B">
        <w:rPr>
          <w:rFonts w:asciiTheme="minorHAnsi" w:hAnsiTheme="minorHAnsi" w:cstheme="minorHAnsi"/>
          <w:bCs/>
          <w:color w:val="000000" w:themeColor="text1"/>
        </w:rPr>
        <w:t xml:space="preserve">esta Política de Investimentos representa, portanto, o compromisso do </w:t>
      </w:r>
      <w:r w:rsidRPr="007E3D0B">
        <w:rPr>
          <w:rFonts w:asciiTheme="minorHAnsi" w:hAnsiTheme="minorHAnsi" w:cstheme="minorHAnsi"/>
          <w:b/>
          <w:bCs/>
          <w:color w:val="000000" w:themeColor="text1"/>
        </w:rPr>
        <w:t>INSTITUTO DE PREVIDÊNCIA MUNICIPAL DE SANTO ANTÔNIO DE POSSE - IPREM POSSE</w:t>
      </w:r>
      <w:r w:rsidR="00ED4E76" w:rsidRPr="007E3D0B">
        <w:rPr>
          <w:rFonts w:asciiTheme="minorHAnsi" w:hAnsiTheme="minorHAnsi" w:cstheme="minorHAnsi"/>
          <w:bCs/>
          <w:color w:val="000000" w:themeColor="text1"/>
        </w:rPr>
        <w:t xml:space="preserve"> com a boa gestão dos recursos previdenciários, garantindo segurança, rentabilidade, solvência, liquidez, motivação, adequação às obrigações e transparência em todas as etapas de sua</w:t>
      </w:r>
      <w:r w:rsidR="00037F94" w:rsidRPr="007E3D0B">
        <w:rPr>
          <w:rFonts w:asciiTheme="minorHAnsi" w:hAnsiTheme="minorHAnsi" w:cstheme="minorHAnsi"/>
          <w:bCs/>
          <w:color w:val="000000" w:themeColor="text1"/>
        </w:rPr>
        <w:t>s operações</w:t>
      </w:r>
      <w:r w:rsidR="00ED4E76" w:rsidRPr="007E3D0B">
        <w:rPr>
          <w:rFonts w:asciiTheme="minorHAnsi" w:hAnsiTheme="minorHAnsi" w:cstheme="minorHAnsi"/>
          <w:bCs/>
          <w:color w:val="000000" w:themeColor="text1"/>
        </w:rPr>
        <w:t>.</w:t>
      </w:r>
    </w:p>
    <w:p w14:paraId="4971B171" w14:textId="77777777" w:rsidR="00500AE2" w:rsidRPr="007E3D0B" w:rsidRDefault="00500AE2" w:rsidP="00C8521E">
      <w:pPr>
        <w:pStyle w:val="Ttulo1"/>
        <w:rPr>
          <w:rFonts w:asciiTheme="minorHAnsi" w:hAnsiTheme="minorHAnsi" w:cstheme="minorHAnsi"/>
          <w:color w:val="000000" w:themeColor="text1"/>
          <w:sz w:val="22"/>
          <w:szCs w:val="22"/>
        </w:rPr>
      </w:pPr>
      <w:bookmarkStart w:id="3" w:name="_Toc435202737"/>
      <w:bookmarkStart w:id="4" w:name="_Toc490036539"/>
      <w:bookmarkStart w:id="5" w:name="_Toc118105126"/>
      <w:bookmarkStart w:id="6" w:name="_Toc213399428"/>
      <w:r w:rsidRPr="007E3D0B">
        <w:rPr>
          <w:rFonts w:asciiTheme="minorHAnsi" w:hAnsiTheme="minorHAnsi" w:cstheme="minorHAnsi"/>
          <w:color w:val="000000" w:themeColor="text1"/>
          <w:sz w:val="22"/>
          <w:szCs w:val="22"/>
        </w:rPr>
        <w:t>OBJETIVO</w:t>
      </w:r>
      <w:bookmarkEnd w:id="3"/>
      <w:bookmarkEnd w:id="4"/>
      <w:bookmarkEnd w:id="5"/>
      <w:bookmarkEnd w:id="6"/>
    </w:p>
    <w:p w14:paraId="29B10F4C" w14:textId="77777777" w:rsidR="004302A4" w:rsidRPr="007E3D0B" w:rsidRDefault="004302A4" w:rsidP="004302A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 objetivo central desta Política de Investimentos é estabelecer as diretrizes que assegurem a aplicação responsável e eficiente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de forma a preservar seu equilíbrio financeiro e atuarial e garantir o pagamento presente e futuro dos benefícios previdenciários.</w:t>
      </w:r>
    </w:p>
    <w:p w14:paraId="08A4A8E2" w14:textId="77777777" w:rsidR="004302A4" w:rsidRPr="007E3D0B" w:rsidRDefault="004302A4" w:rsidP="004302A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Busca-se alinhar a estratégia de investimentos às necessidades de curto, médio e longo prazo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assegurando a compatibilidade entre os ativos financeiros e as obrigações previdenciárias assumidas. Para tanto, este documento orienta a seleção, a alocação e o monitoramento dos investimentos, com base em princípios de prudência, diversificação e sustentabilidade.</w:t>
      </w:r>
    </w:p>
    <w:p w14:paraId="2FEFAA83" w14:textId="77777777" w:rsidR="004302A4" w:rsidRPr="007E3D0B" w:rsidRDefault="004302A4" w:rsidP="004302A4">
      <w:pPr>
        <w:rPr>
          <w:rFonts w:asciiTheme="minorHAnsi" w:hAnsiTheme="minorHAnsi" w:cstheme="minorHAnsi"/>
          <w:bCs/>
          <w:color w:val="000000" w:themeColor="text1"/>
        </w:rPr>
      </w:pPr>
      <w:r w:rsidRPr="007E3D0B">
        <w:rPr>
          <w:rFonts w:asciiTheme="minorHAnsi" w:hAnsiTheme="minorHAnsi" w:cstheme="minorHAnsi"/>
          <w:bCs/>
          <w:color w:val="000000" w:themeColor="text1"/>
        </w:rPr>
        <w:t>Além de servir como guia para a tomada de decisões, a Política de Investimentos cumpre a função de reforçar a transparência na gestão pública, permitindo que segurados, beneficiários e órgãos de controle acompanhem de forma clara e objetiva as escolhas realizadas e os resultados obtidos.</w:t>
      </w:r>
    </w:p>
    <w:p w14:paraId="186D3736" w14:textId="77777777" w:rsidR="00BE4904" w:rsidRPr="007E3D0B" w:rsidRDefault="004302A4" w:rsidP="004302A4">
      <w:pPr>
        <w:rPr>
          <w:rFonts w:asciiTheme="minorHAnsi" w:hAnsiTheme="minorHAnsi" w:cstheme="minorHAnsi"/>
          <w:bCs/>
          <w:color w:val="000000" w:themeColor="text1"/>
        </w:rPr>
      </w:pPr>
      <w:r w:rsidRPr="007E3D0B">
        <w:rPr>
          <w:rFonts w:asciiTheme="minorHAnsi" w:hAnsiTheme="minorHAnsi" w:cstheme="minorHAnsi"/>
          <w:bCs/>
          <w:color w:val="000000" w:themeColor="text1"/>
        </w:rPr>
        <w:t>Assim, este documento consolida-se como instrumento essencial para o fortalecimento da confiança na gestão previdenciária, contribuindo para a estabilidade do</w:t>
      </w:r>
      <w:r w:rsidR="00BE4904" w:rsidRPr="007E3D0B">
        <w:rPr>
          <w:rFonts w:asciiTheme="minorHAnsi" w:hAnsiTheme="minorHAnsi" w:cstheme="minorHAnsi"/>
          <w:bCs/>
          <w:color w:val="000000" w:themeColor="text1"/>
        </w:rPr>
        <w:t xml:space="preserve">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e para a proteção dos direitos presentes e futuros dos seus participantes.</w:t>
      </w:r>
    </w:p>
    <w:p w14:paraId="30EBE15E" w14:textId="77777777" w:rsidR="00500AE2" w:rsidRPr="007E3D0B" w:rsidRDefault="00500AE2" w:rsidP="004302A4">
      <w:pPr>
        <w:rPr>
          <w:rFonts w:asciiTheme="minorHAnsi" w:hAnsiTheme="minorHAnsi" w:cstheme="minorHAnsi"/>
          <w:bCs/>
          <w:color w:val="000000" w:themeColor="text1"/>
        </w:rPr>
      </w:pPr>
      <w:r w:rsidRPr="007E3D0B">
        <w:rPr>
          <w:rFonts w:asciiTheme="minorHAnsi" w:hAnsiTheme="minorHAnsi" w:cstheme="minorHAnsi"/>
          <w:bCs/>
          <w:color w:val="000000" w:themeColor="text1"/>
        </w:rPr>
        <w:br w:type="page"/>
      </w:r>
    </w:p>
    <w:p w14:paraId="6431A950" w14:textId="77777777" w:rsidR="00500AE2" w:rsidRPr="007E3D0B" w:rsidRDefault="00500AE2" w:rsidP="00C8521E">
      <w:pPr>
        <w:pStyle w:val="Ttulo1"/>
        <w:rPr>
          <w:rFonts w:asciiTheme="minorHAnsi" w:hAnsiTheme="minorHAnsi" w:cstheme="minorHAnsi"/>
          <w:color w:val="000000" w:themeColor="text1"/>
          <w:sz w:val="22"/>
          <w:szCs w:val="22"/>
        </w:rPr>
      </w:pPr>
      <w:bookmarkStart w:id="7" w:name="_Toc118105127"/>
      <w:bookmarkStart w:id="8" w:name="_Toc213399429"/>
      <w:r w:rsidRPr="007E3D0B">
        <w:rPr>
          <w:rFonts w:asciiTheme="minorHAnsi" w:hAnsiTheme="minorHAnsi" w:cstheme="minorHAnsi"/>
          <w:color w:val="000000" w:themeColor="text1"/>
          <w:sz w:val="22"/>
          <w:szCs w:val="22"/>
        </w:rPr>
        <w:lastRenderedPageBreak/>
        <w:t>CATEGORIZAÇÃO DO RPPS</w:t>
      </w:r>
      <w:bookmarkEnd w:id="7"/>
      <w:bookmarkEnd w:id="8"/>
    </w:p>
    <w:p w14:paraId="60395DEB" w14:textId="77777777" w:rsidR="002A6D33" w:rsidRPr="007E3D0B" w:rsidRDefault="002A6D33" w:rsidP="002A6D3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fins de classificação, os Regimes Próprios de Previdência Social podem ser enquadrados como </w:t>
      </w:r>
      <w:r w:rsidRPr="007E3D0B">
        <w:rPr>
          <w:rFonts w:asciiTheme="minorHAnsi" w:hAnsiTheme="minorHAnsi" w:cstheme="minorHAnsi"/>
          <w:b/>
          <w:bCs/>
          <w:color w:val="000000" w:themeColor="text1"/>
        </w:rPr>
        <w:t>Investidor Comum, Qualificado ou Profissional</w:t>
      </w:r>
      <w:r w:rsidRPr="007E3D0B">
        <w:rPr>
          <w:rFonts w:asciiTheme="minorHAnsi" w:hAnsiTheme="minorHAnsi" w:cstheme="minorHAnsi"/>
          <w:color w:val="000000" w:themeColor="text1"/>
        </w:rPr>
        <w:t>. Essa categorização é importante porque define quais tipos de investimentos o</w:t>
      </w:r>
      <w:r w:rsidR="0074460A" w:rsidRPr="007E3D0B">
        <w:rPr>
          <w:rFonts w:asciiTheme="minorHAnsi" w:hAnsiTheme="minorHAnsi" w:cstheme="minorHAnsi"/>
          <w:color w:val="000000" w:themeColor="text1"/>
        </w:rPr>
        <w:t xml:space="preserve">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poderá acessar e em quais condições.</w:t>
      </w:r>
    </w:p>
    <w:p w14:paraId="13D4E3E1" w14:textId="77777777" w:rsidR="002A6D33" w:rsidRPr="007E3D0B" w:rsidRDefault="002A6D33" w:rsidP="002A6D33">
      <w:pPr>
        <w:rPr>
          <w:rFonts w:asciiTheme="minorHAnsi" w:hAnsiTheme="minorHAnsi" w:cstheme="minorHAnsi"/>
          <w:color w:val="000000" w:themeColor="text1"/>
        </w:rPr>
      </w:pPr>
      <w:r w:rsidRPr="007E3D0B">
        <w:rPr>
          <w:rFonts w:asciiTheme="minorHAnsi" w:hAnsiTheme="minorHAnsi" w:cstheme="minorHAnsi"/>
          <w:color w:val="000000" w:themeColor="text1"/>
        </w:rPr>
        <w:t>De forma prática, a classificação leva em consideração dois aspectos principais:</w:t>
      </w:r>
    </w:p>
    <w:p w14:paraId="6936EA9B" w14:textId="77777777" w:rsidR="0074460A" w:rsidRPr="007E3D0B" w:rsidRDefault="002A6D33" w:rsidP="008B69D1">
      <w:pPr>
        <w:pStyle w:val="PargrafodaLista"/>
        <w:numPr>
          <w:ilvl w:val="0"/>
          <w:numId w:val="11"/>
        </w:numPr>
        <w:rPr>
          <w:rFonts w:asciiTheme="minorHAnsi" w:hAnsiTheme="minorHAnsi" w:cstheme="minorHAnsi"/>
          <w:color w:val="000000" w:themeColor="text1"/>
        </w:rPr>
      </w:pPr>
      <w:r w:rsidRPr="007E3D0B">
        <w:rPr>
          <w:rFonts w:asciiTheme="minorHAnsi" w:hAnsiTheme="minorHAnsi" w:cstheme="minorHAnsi"/>
          <w:b/>
          <w:bCs/>
          <w:color w:val="000000" w:themeColor="text1"/>
        </w:rPr>
        <w:t xml:space="preserve">Patrimônio </w:t>
      </w:r>
      <w:r w:rsidR="0074460A" w:rsidRPr="007E3D0B">
        <w:rPr>
          <w:rFonts w:asciiTheme="minorHAnsi" w:hAnsiTheme="minorHAnsi" w:cstheme="minorHAnsi"/>
          <w:b/>
          <w:bCs/>
          <w:color w:val="000000" w:themeColor="text1"/>
        </w:rPr>
        <w:t>A</w:t>
      </w:r>
      <w:r w:rsidRPr="007E3D0B">
        <w:rPr>
          <w:rFonts w:asciiTheme="minorHAnsi" w:hAnsiTheme="minorHAnsi" w:cstheme="minorHAnsi"/>
          <w:b/>
          <w:bCs/>
          <w:color w:val="000000" w:themeColor="text1"/>
        </w:rPr>
        <w:t>plicado:</w:t>
      </w:r>
      <w:r w:rsidRPr="007E3D0B">
        <w:rPr>
          <w:rFonts w:asciiTheme="minorHAnsi" w:hAnsiTheme="minorHAnsi" w:cstheme="minorHAnsi"/>
          <w:color w:val="000000" w:themeColor="text1"/>
        </w:rPr>
        <w:t xml:space="preserve"> o volume de recursos sob gestão, registrado no Demonstrativo das Aplicações e Investimentos dos Recursos – DAIR;</w:t>
      </w:r>
    </w:p>
    <w:p w14:paraId="7AD31B2A" w14:textId="77777777" w:rsidR="0074460A" w:rsidRPr="007E3D0B" w:rsidRDefault="0074460A" w:rsidP="0074460A">
      <w:pPr>
        <w:pStyle w:val="PargrafodaLista"/>
        <w:rPr>
          <w:rFonts w:asciiTheme="minorHAnsi" w:hAnsiTheme="minorHAnsi" w:cstheme="minorHAnsi"/>
          <w:color w:val="000000" w:themeColor="text1"/>
        </w:rPr>
      </w:pPr>
    </w:p>
    <w:p w14:paraId="0FC618D1" w14:textId="77777777" w:rsidR="002A6D33" w:rsidRPr="007E3D0B" w:rsidRDefault="002A6D33" w:rsidP="008B69D1">
      <w:pPr>
        <w:pStyle w:val="PargrafodaLista"/>
        <w:numPr>
          <w:ilvl w:val="0"/>
          <w:numId w:val="11"/>
        </w:numPr>
        <w:rPr>
          <w:rFonts w:asciiTheme="minorHAnsi" w:hAnsiTheme="minorHAnsi" w:cstheme="minorHAnsi"/>
          <w:color w:val="000000" w:themeColor="text1"/>
        </w:rPr>
      </w:pPr>
      <w:r w:rsidRPr="007E3D0B">
        <w:rPr>
          <w:rFonts w:asciiTheme="minorHAnsi" w:hAnsiTheme="minorHAnsi" w:cstheme="minorHAnsi"/>
          <w:b/>
          <w:bCs/>
          <w:color w:val="000000" w:themeColor="text1"/>
        </w:rPr>
        <w:t>Nível de Aderência ao Pró-Gestão RPPS:</w:t>
      </w:r>
      <w:r w:rsidRPr="007E3D0B">
        <w:rPr>
          <w:rFonts w:asciiTheme="minorHAnsi" w:hAnsiTheme="minorHAnsi" w:cstheme="minorHAnsi"/>
          <w:color w:val="000000" w:themeColor="text1"/>
        </w:rPr>
        <w:t xml:space="preserve"> certificação que avalia governança, controles internos e práticas de gestão.</w:t>
      </w:r>
    </w:p>
    <w:p w14:paraId="3DB2B576" w14:textId="77777777" w:rsidR="002A6D33" w:rsidRPr="007E3D0B" w:rsidRDefault="002A6D33" w:rsidP="002A6D3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ser reconhecido como </w:t>
      </w:r>
      <w:r w:rsidRPr="007E3D0B">
        <w:rPr>
          <w:rFonts w:asciiTheme="minorHAnsi" w:hAnsiTheme="minorHAnsi" w:cstheme="minorHAnsi"/>
          <w:b/>
          <w:bCs/>
          <w:color w:val="000000" w:themeColor="text1"/>
        </w:rPr>
        <w:t>Investidor Qualificado</w:t>
      </w:r>
      <w:r w:rsidRPr="007E3D0B">
        <w:rPr>
          <w:rFonts w:asciiTheme="minorHAnsi" w:hAnsiTheme="minorHAnsi" w:cstheme="minorHAnsi"/>
          <w:color w:val="000000" w:themeColor="text1"/>
        </w:rPr>
        <w:t xml:space="preserve">, o RPPS deve possuir patrimônio aplicado igual ou superior a R$ 10 milhões e ter obtido Certificação Institucional no Pró-Gestão em um dos níveis de aderência. Já para a categoria de </w:t>
      </w:r>
      <w:r w:rsidRPr="007E3D0B">
        <w:rPr>
          <w:rFonts w:asciiTheme="minorHAnsi" w:hAnsiTheme="minorHAnsi" w:cstheme="minorHAnsi"/>
          <w:b/>
          <w:bCs/>
          <w:color w:val="000000" w:themeColor="text1"/>
        </w:rPr>
        <w:t>Investidor Profissional</w:t>
      </w:r>
      <w:r w:rsidRPr="007E3D0B">
        <w:rPr>
          <w:rFonts w:asciiTheme="minorHAnsi" w:hAnsiTheme="minorHAnsi" w:cstheme="minorHAnsi"/>
          <w:color w:val="000000" w:themeColor="text1"/>
        </w:rPr>
        <w:t>, exige-se patrimônio aplicado igual ou superior a R$ 500 milhões, além da Certificação Institucional Pró-Gestão no Nível IV.</w:t>
      </w:r>
    </w:p>
    <w:p w14:paraId="0BE837CD" w14:textId="77777777" w:rsidR="008F5150" w:rsidRPr="007E3D0B" w:rsidRDefault="002A6D33" w:rsidP="002A6D33">
      <w:pPr>
        <w:rPr>
          <w:rFonts w:asciiTheme="minorHAnsi" w:hAnsiTheme="minorHAnsi" w:cstheme="minorHAnsi"/>
          <w:color w:val="000000" w:themeColor="text1"/>
        </w:rPr>
      </w:pPr>
      <w:r w:rsidRPr="007E3D0B">
        <w:rPr>
          <w:rFonts w:asciiTheme="minorHAnsi" w:hAnsiTheme="minorHAnsi" w:cstheme="minorHAnsi"/>
          <w:color w:val="000000" w:themeColor="text1"/>
        </w:rPr>
        <w:t>Caso o</w:t>
      </w:r>
      <w:r w:rsidR="0074460A" w:rsidRPr="007E3D0B">
        <w:rPr>
          <w:rFonts w:asciiTheme="minorHAnsi" w:hAnsiTheme="minorHAnsi" w:cstheme="minorHAnsi"/>
          <w:b/>
          <w:bCs/>
          <w:color w:val="000000" w:themeColor="text1"/>
        </w:rPr>
        <w:t xml:space="preserve"> </w:t>
      </w:r>
      <w:r w:rsidRPr="007E3D0B">
        <w:rPr>
          <w:rFonts w:asciiTheme="minorHAnsi" w:hAnsiTheme="minorHAnsi" w:cstheme="minorHAnsi"/>
          <w:b/>
          <w:bCs/>
          <w:color w:val="000000" w:themeColor="text1"/>
        </w:rPr>
        <w:t>INSTITUTO DE PREVIDÊNCIA MUNICIPAL DE SANTO ANTÔNIO DE POSSE - IPREM POSSE</w:t>
      </w:r>
      <w:r w:rsidR="0074460A"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 xml:space="preserve">não atenda a esses requisitos, será classificado como </w:t>
      </w:r>
      <w:r w:rsidRPr="007E3D0B">
        <w:rPr>
          <w:rFonts w:asciiTheme="minorHAnsi" w:hAnsiTheme="minorHAnsi" w:cstheme="minorHAnsi"/>
          <w:b/>
          <w:bCs/>
          <w:color w:val="000000" w:themeColor="text1"/>
        </w:rPr>
        <w:t>Investidor Comum</w:t>
      </w:r>
      <w:r w:rsidRPr="007E3D0B">
        <w:rPr>
          <w:rFonts w:asciiTheme="minorHAnsi" w:hAnsiTheme="minorHAnsi" w:cstheme="minorHAnsi"/>
          <w:color w:val="000000" w:themeColor="text1"/>
        </w:rPr>
        <w:t>, ficando restrito a investimentos compatíveis com essa categoria, sem acesso a fundos destinados a investidores qualificados ou profissionais.</w:t>
      </w:r>
    </w:p>
    <w:p w14:paraId="66B17555" w14:textId="77777777" w:rsidR="002A6D33" w:rsidRPr="007E3D0B" w:rsidRDefault="0074460A" w:rsidP="002A6D33">
      <w:pPr>
        <w:rPr>
          <w:rFonts w:asciiTheme="minorHAnsi" w:hAnsiTheme="minorHAnsi" w:cstheme="minorHAnsi"/>
          <w:color w:val="000000" w:themeColor="text1"/>
        </w:rPr>
      </w:pPr>
      <w:r w:rsidRPr="007E3D0B">
        <w:rPr>
          <w:rFonts w:asciiTheme="minorHAnsi" w:hAnsiTheme="minorHAnsi" w:cstheme="minorHAnsi"/>
          <w:color w:val="000000" w:themeColor="text1"/>
        </w:rPr>
        <w:t>Para apoiar essa classificação, são observadas as seguintes informações:</w:t>
      </w:r>
    </w:p>
    <w:tbl>
      <w:tblPr>
        <w:tblStyle w:val="TabeladeLista1Clara-nfase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7E3D0B" w:rsidRPr="007E3D0B" w14:paraId="333C33AD" w14:textId="77777777" w:rsidTr="00092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tcBorders>
              <w:bottom w:val="none" w:sz="0" w:space="0" w:color="auto"/>
            </w:tcBorders>
            <w:vAlign w:val="center"/>
          </w:tcPr>
          <w:p w14:paraId="40EF311E" w14:textId="77777777" w:rsidR="00500AE2" w:rsidRPr="007E3D0B" w:rsidRDefault="00500AE2" w:rsidP="00CD3B3F">
            <w:pPr>
              <w:spacing w:before="0" w:after="0"/>
              <w:jc w:val="center"/>
              <w:rPr>
                <w:rFonts w:asciiTheme="minorHAnsi" w:hAnsiTheme="minorHAnsi" w:cstheme="minorHAnsi"/>
                <w:color w:val="000000" w:themeColor="text1"/>
              </w:rPr>
            </w:pPr>
            <w:r w:rsidRPr="007E3D0B">
              <w:rPr>
                <w:rFonts w:asciiTheme="minorHAnsi" w:hAnsiTheme="minorHAnsi" w:cstheme="minorHAnsi"/>
                <w:color w:val="000000" w:themeColor="text1"/>
              </w:rPr>
              <w:t>A</w:t>
            </w:r>
            <w:r w:rsidR="003D70FC" w:rsidRPr="007E3D0B">
              <w:rPr>
                <w:rFonts w:asciiTheme="minorHAnsi" w:hAnsiTheme="minorHAnsi" w:cstheme="minorHAnsi"/>
                <w:color w:val="000000" w:themeColor="text1"/>
              </w:rPr>
              <w:t>nálise do Perfil</w:t>
            </w:r>
          </w:p>
        </w:tc>
      </w:tr>
      <w:tr w:rsidR="007E3D0B" w:rsidRPr="007E3D0B" w14:paraId="300EE602" w14:textId="77777777" w:rsidTr="0009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auto"/>
            <w:vAlign w:val="center"/>
          </w:tcPr>
          <w:p w14:paraId="27973D47" w14:textId="77777777" w:rsidR="00500AE2" w:rsidRPr="007E3D0B" w:rsidRDefault="00500AE2" w:rsidP="007E59EF">
            <w:pPr>
              <w:jc w:val="left"/>
              <w:rPr>
                <w:rFonts w:asciiTheme="minorHAnsi" w:hAnsiTheme="minorHAnsi" w:cstheme="minorHAnsi"/>
                <w:color w:val="000000" w:themeColor="text1"/>
              </w:rPr>
            </w:pPr>
            <w:r w:rsidRPr="007E3D0B">
              <w:rPr>
                <w:rFonts w:asciiTheme="minorHAnsi" w:hAnsiTheme="minorHAnsi" w:cstheme="minorHAnsi"/>
                <w:color w:val="000000" w:themeColor="text1"/>
              </w:rPr>
              <w:t>Patrimônio Líquido sob gestão (R$)</w:t>
            </w:r>
          </w:p>
        </w:tc>
        <w:tc>
          <w:tcPr>
            <w:tcW w:w="4531" w:type="dxa"/>
            <w:shd w:val="clear" w:color="auto" w:fill="auto"/>
            <w:vAlign w:val="center"/>
          </w:tcPr>
          <w:p w14:paraId="7016A6EE" w14:textId="78731510" w:rsidR="00500AE2" w:rsidRPr="007E3D0B" w:rsidRDefault="00092DC7" w:rsidP="007E59E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rPr>
            </w:pPr>
            <w:r w:rsidRPr="00092DC7">
              <w:rPr>
                <w:rFonts w:asciiTheme="minorHAnsi" w:hAnsiTheme="minorHAnsi" w:cstheme="minorHAnsi"/>
                <w:b/>
                <w:bCs/>
                <w:color w:val="000000" w:themeColor="text1"/>
              </w:rPr>
              <w:t>127.666.304,50</w:t>
            </w:r>
          </w:p>
        </w:tc>
      </w:tr>
      <w:tr w:rsidR="007E3D0B" w:rsidRPr="007E3D0B" w14:paraId="0C2DB837" w14:textId="77777777" w:rsidTr="00092DC7">
        <w:tc>
          <w:tcPr>
            <w:cnfStyle w:val="001000000000" w:firstRow="0" w:lastRow="0" w:firstColumn="1" w:lastColumn="0" w:oddVBand="0" w:evenVBand="0" w:oddHBand="0" w:evenHBand="0" w:firstRowFirstColumn="0" w:firstRowLastColumn="0" w:lastRowFirstColumn="0" w:lastRowLastColumn="0"/>
            <w:tcW w:w="4530" w:type="dxa"/>
            <w:vAlign w:val="center"/>
          </w:tcPr>
          <w:p w14:paraId="469AA3C8" w14:textId="77777777" w:rsidR="00500AE2" w:rsidRPr="007E3D0B" w:rsidRDefault="00500AE2" w:rsidP="007E59EF">
            <w:pPr>
              <w:jc w:val="left"/>
              <w:rPr>
                <w:rFonts w:asciiTheme="minorHAnsi" w:hAnsiTheme="minorHAnsi" w:cstheme="minorHAnsi"/>
                <w:color w:val="000000" w:themeColor="text1"/>
              </w:rPr>
            </w:pPr>
            <w:r w:rsidRPr="007E3D0B">
              <w:rPr>
                <w:rFonts w:asciiTheme="minorHAnsi" w:hAnsiTheme="minorHAnsi" w:cstheme="minorHAnsi"/>
                <w:color w:val="000000" w:themeColor="text1"/>
              </w:rPr>
              <w:t xml:space="preserve">Nível de Aderência </w:t>
            </w:r>
            <w:r w:rsidR="0032609D" w:rsidRPr="007E3D0B">
              <w:rPr>
                <w:rFonts w:asciiTheme="minorHAnsi" w:hAnsiTheme="minorHAnsi" w:cstheme="minorHAnsi"/>
                <w:color w:val="000000" w:themeColor="text1"/>
              </w:rPr>
              <w:t xml:space="preserve">conquistado </w:t>
            </w:r>
            <w:r w:rsidR="004A38B8" w:rsidRPr="007E3D0B">
              <w:rPr>
                <w:rFonts w:asciiTheme="minorHAnsi" w:hAnsiTheme="minorHAnsi" w:cstheme="minorHAnsi"/>
                <w:color w:val="000000" w:themeColor="text1"/>
              </w:rPr>
              <w:t>n</w:t>
            </w:r>
            <w:r w:rsidRPr="007E3D0B">
              <w:rPr>
                <w:rFonts w:asciiTheme="minorHAnsi" w:hAnsiTheme="minorHAnsi" w:cstheme="minorHAnsi"/>
                <w:color w:val="000000" w:themeColor="text1"/>
              </w:rPr>
              <w:t>o Pró-Gestão</w:t>
            </w:r>
          </w:p>
        </w:tc>
        <w:tc>
          <w:tcPr>
            <w:tcW w:w="4531" w:type="dxa"/>
            <w:vAlign w:val="center"/>
          </w:tcPr>
          <w:p w14:paraId="358A0D51" w14:textId="77777777" w:rsidR="00500AE2" w:rsidRPr="007E3D0B" w:rsidRDefault="009E62D9" w:rsidP="007E59E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b/>
                <w:bCs/>
                <w:color w:val="000000" w:themeColor="text1"/>
              </w:rPr>
              <w:t>Não se aplica</w:t>
            </w:r>
          </w:p>
        </w:tc>
      </w:tr>
      <w:tr w:rsidR="007E3D0B" w:rsidRPr="007E3D0B" w14:paraId="09431034" w14:textId="77777777" w:rsidTr="00092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shd w:val="clear" w:color="auto" w:fill="auto"/>
            <w:vAlign w:val="center"/>
          </w:tcPr>
          <w:p w14:paraId="5100DD03" w14:textId="77777777" w:rsidR="00500AE2" w:rsidRPr="007E3D0B" w:rsidRDefault="00500AE2" w:rsidP="007E59EF">
            <w:pPr>
              <w:jc w:val="left"/>
              <w:rPr>
                <w:rFonts w:asciiTheme="minorHAnsi" w:hAnsiTheme="minorHAnsi" w:cstheme="minorHAnsi"/>
                <w:color w:val="000000" w:themeColor="text1"/>
              </w:rPr>
            </w:pPr>
            <w:r w:rsidRPr="007E3D0B">
              <w:rPr>
                <w:rFonts w:asciiTheme="minorHAnsi" w:hAnsiTheme="minorHAnsi" w:cstheme="minorHAnsi"/>
                <w:color w:val="000000" w:themeColor="text1"/>
              </w:rPr>
              <w:t>Vencimento da Certificação</w:t>
            </w:r>
            <w:r w:rsidR="004A38B8" w:rsidRPr="007E3D0B">
              <w:rPr>
                <w:rFonts w:asciiTheme="minorHAnsi" w:hAnsiTheme="minorHAnsi" w:cstheme="minorHAnsi"/>
                <w:color w:val="000000" w:themeColor="text1"/>
              </w:rPr>
              <w:t xml:space="preserve"> Pró-Gestão</w:t>
            </w:r>
          </w:p>
        </w:tc>
        <w:tc>
          <w:tcPr>
            <w:tcW w:w="4531" w:type="dxa"/>
            <w:shd w:val="clear" w:color="auto" w:fill="auto"/>
            <w:vAlign w:val="center"/>
          </w:tcPr>
          <w:p w14:paraId="292B9D6C" w14:textId="77777777" w:rsidR="00500AE2" w:rsidRPr="007E3D0B" w:rsidRDefault="009E62D9" w:rsidP="007E59EF">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b/>
                <w:bCs/>
                <w:color w:val="000000" w:themeColor="text1"/>
              </w:rPr>
              <w:t>Não se aplica</w:t>
            </w:r>
          </w:p>
        </w:tc>
      </w:tr>
    </w:tbl>
    <w:p w14:paraId="6CD157CE" w14:textId="77777777" w:rsidR="00CC7F04" w:rsidRPr="007E3D0B" w:rsidRDefault="007E59EF"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Fonte: </w:t>
      </w:r>
      <w:r w:rsidR="004D6751" w:rsidRPr="007E3D0B">
        <w:rPr>
          <w:rFonts w:asciiTheme="minorHAnsi" w:hAnsiTheme="minorHAnsi" w:cstheme="minorHAnsi"/>
          <w:color w:val="000000" w:themeColor="text1"/>
        </w:rPr>
        <w:t>O</w:t>
      </w:r>
      <w:r w:rsidRPr="007E3D0B">
        <w:rPr>
          <w:rFonts w:asciiTheme="minorHAnsi" w:hAnsiTheme="minorHAnsi" w:cstheme="minorHAnsi"/>
          <w:color w:val="000000" w:themeColor="text1"/>
        </w:rPr>
        <w:t xml:space="preserve"> próprio </w:t>
      </w:r>
      <w:r w:rsidRPr="007E3D0B">
        <w:rPr>
          <w:rFonts w:asciiTheme="minorHAnsi" w:hAnsiTheme="minorHAnsi" w:cstheme="minorHAnsi"/>
          <w:b/>
          <w:bCs/>
          <w:color w:val="000000" w:themeColor="text1"/>
        </w:rPr>
        <w:t>INSTITUTO DE PREVIDÊNCIA MUNICIPAL DE SANTO ANTÔNIO DE POSSE - IPREM POSSE</w:t>
      </w:r>
    </w:p>
    <w:p w14:paraId="36226D87" w14:textId="77777777" w:rsidR="00E873F1" w:rsidRPr="007E3D0B" w:rsidRDefault="00811920"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Atualmente,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encontra-se classificado como</w:t>
      </w:r>
      <w:r w:rsidR="00080CAE" w:rsidRPr="007E3D0B">
        <w:rPr>
          <w:rFonts w:asciiTheme="minorHAnsi" w:hAnsiTheme="minorHAnsi" w:cstheme="minorHAnsi"/>
          <w:b/>
          <w:bCs/>
          <w:color w:val="000000" w:themeColor="text1"/>
        </w:rPr>
        <w:t xml:space="preserve"> INVESTIDOR COMUM</w:t>
      </w:r>
      <w:r w:rsidRPr="007E3D0B">
        <w:rPr>
          <w:rFonts w:asciiTheme="minorHAnsi" w:hAnsiTheme="minorHAnsi" w:cstheme="minorHAnsi"/>
          <w:color w:val="000000" w:themeColor="text1"/>
        </w:rPr>
        <w:t xml:space="preserve">. Havendo a obtenção e/ou progressão na Certificação Pró-Gestão, a categorização será revista e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deverá promover as adequações necessárias nesta Política de Investimentos dentro de prazo de </w:t>
      </w:r>
      <w:r w:rsidRPr="007E3D0B">
        <w:rPr>
          <w:rFonts w:asciiTheme="minorHAnsi" w:hAnsiTheme="minorHAnsi" w:cstheme="minorHAnsi"/>
          <w:b/>
          <w:bCs/>
          <w:color w:val="000000" w:themeColor="text1"/>
        </w:rPr>
        <w:t>até 90 (noventa) dias</w:t>
      </w:r>
      <w:r w:rsidRPr="007E3D0B">
        <w:rPr>
          <w:rFonts w:asciiTheme="minorHAnsi" w:hAnsiTheme="minorHAnsi" w:cstheme="minorHAnsi"/>
          <w:color w:val="000000" w:themeColor="text1"/>
        </w:rPr>
        <w:t>, de forma a refletir fielmente sua nova condição de enquadramento.</w:t>
      </w:r>
    </w:p>
    <w:p w14:paraId="61D098E6"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br w:type="page"/>
      </w:r>
    </w:p>
    <w:p w14:paraId="1A86ACFD" w14:textId="77777777" w:rsidR="00500AE2" w:rsidRPr="007E3D0B" w:rsidRDefault="00500AE2" w:rsidP="00C8521E">
      <w:pPr>
        <w:pStyle w:val="Ttulo1"/>
        <w:rPr>
          <w:rFonts w:asciiTheme="minorHAnsi" w:hAnsiTheme="minorHAnsi" w:cstheme="minorHAnsi"/>
          <w:color w:val="000000" w:themeColor="text1"/>
          <w:sz w:val="22"/>
          <w:szCs w:val="22"/>
        </w:rPr>
      </w:pPr>
      <w:bookmarkStart w:id="9" w:name="_Toc435202747"/>
      <w:bookmarkStart w:id="10" w:name="_Toc490036553"/>
      <w:bookmarkStart w:id="11" w:name="_Toc118105128"/>
      <w:bookmarkStart w:id="12" w:name="_Toc213399430"/>
      <w:bookmarkStart w:id="13" w:name="_Toc435202741"/>
      <w:bookmarkStart w:id="14" w:name="_Toc490036546"/>
      <w:r w:rsidRPr="007E3D0B">
        <w:rPr>
          <w:rFonts w:asciiTheme="minorHAnsi" w:hAnsiTheme="minorHAnsi" w:cstheme="minorHAnsi"/>
          <w:color w:val="000000" w:themeColor="text1"/>
          <w:sz w:val="22"/>
          <w:szCs w:val="22"/>
        </w:rPr>
        <w:lastRenderedPageBreak/>
        <w:t>ESTRUTURA DE GESTÃO</w:t>
      </w:r>
      <w:bookmarkEnd w:id="9"/>
      <w:bookmarkEnd w:id="10"/>
      <w:bookmarkEnd w:id="11"/>
      <w:r w:rsidR="00F017D8" w:rsidRPr="007E3D0B">
        <w:rPr>
          <w:rFonts w:asciiTheme="minorHAnsi" w:hAnsiTheme="minorHAnsi" w:cstheme="minorHAnsi"/>
          <w:color w:val="000000" w:themeColor="text1"/>
          <w:sz w:val="22"/>
          <w:szCs w:val="22"/>
        </w:rPr>
        <w:t xml:space="preserve"> E GOVERNANÇA</w:t>
      </w:r>
      <w:bookmarkEnd w:id="12"/>
    </w:p>
    <w:p w14:paraId="3BA71BEF" w14:textId="77777777" w:rsidR="001D7C80" w:rsidRPr="007E3D0B" w:rsidRDefault="001D7C80" w:rsidP="001D7C8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responsáveis pela gestão da unidade gestora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têm como uma de suas principais responsabilidades a busca contínua pelo aperfeiçoamento técnico, exercendo suas atividades com boa-fé, legalidade e diligência. Devem zelar por elevados padrões éticos e adotar boas práticas de gestão previdenciária, em consonância com os princípios do Pró-Gestão, de modo a garantir o cumprimento das obrigações do regime.</w:t>
      </w:r>
    </w:p>
    <w:p w14:paraId="14E7783E" w14:textId="77777777" w:rsidR="001D7C80" w:rsidRPr="007E3D0B" w:rsidRDefault="001D7C80" w:rsidP="001D7C8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Entende-se por responsáveis aqueles que participam dos processos de análise, avaliação, gerenciamento, assessoramento e decisão, assim como os agentes de mercado que atuam na distribuição, intermediação e administração de fundos de investimento e ativos financeiros relacionados. As atribuições de cada agente estão detalhadas nos manuais internos e nas políticas institucionais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instituídos como Regras, Procedimentos e Controles Internos.</w:t>
      </w:r>
    </w:p>
    <w:p w14:paraId="0EFCA2E4" w14:textId="77777777" w:rsidR="001D7C80" w:rsidRPr="007E3D0B" w:rsidRDefault="001D7C80" w:rsidP="001D7C8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 governança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é composta por instâncias que atuam de forma integrada e complementar:</w:t>
      </w:r>
    </w:p>
    <w:p w14:paraId="0D01B96E" w14:textId="77777777" w:rsidR="0065079B" w:rsidRPr="007E3D0B" w:rsidRDefault="001D7C80" w:rsidP="008B69D1">
      <w:pPr>
        <w:pStyle w:val="PargrafodaLista"/>
        <w:numPr>
          <w:ilvl w:val="0"/>
          <w:numId w:val="12"/>
        </w:numPr>
        <w:rPr>
          <w:rFonts w:asciiTheme="minorHAnsi" w:hAnsiTheme="minorHAnsi" w:cstheme="minorHAnsi"/>
          <w:color w:val="000000" w:themeColor="text1"/>
        </w:rPr>
      </w:pPr>
      <w:r w:rsidRPr="007E3D0B">
        <w:rPr>
          <w:rFonts w:asciiTheme="minorHAnsi" w:hAnsiTheme="minorHAnsi" w:cstheme="minorHAnsi"/>
          <w:b/>
          <w:bCs/>
          <w:color w:val="000000" w:themeColor="text1"/>
        </w:rPr>
        <w:t>Conselho Deliberativo:</w:t>
      </w:r>
      <w:r w:rsidRPr="007E3D0B">
        <w:rPr>
          <w:rFonts w:asciiTheme="minorHAnsi" w:hAnsiTheme="minorHAnsi" w:cstheme="minorHAnsi"/>
          <w:color w:val="000000" w:themeColor="text1"/>
        </w:rPr>
        <w:t xml:space="preserve"> órgão máximo de deliberação, responsável por aprovar a Política de Investimentos e acompanhar sua execução;</w:t>
      </w:r>
    </w:p>
    <w:p w14:paraId="16337812" w14:textId="77777777" w:rsidR="0065079B" w:rsidRPr="007E3D0B" w:rsidRDefault="0065079B" w:rsidP="0065079B">
      <w:pPr>
        <w:pStyle w:val="PargrafodaLista"/>
        <w:rPr>
          <w:rFonts w:asciiTheme="minorHAnsi" w:hAnsiTheme="minorHAnsi" w:cstheme="minorHAnsi"/>
          <w:color w:val="000000" w:themeColor="text1"/>
        </w:rPr>
      </w:pPr>
    </w:p>
    <w:p w14:paraId="4F920C7A" w14:textId="77777777" w:rsidR="0065079B" w:rsidRPr="007E3D0B" w:rsidRDefault="001D7C80" w:rsidP="008B69D1">
      <w:pPr>
        <w:pStyle w:val="PargrafodaLista"/>
        <w:numPr>
          <w:ilvl w:val="0"/>
          <w:numId w:val="12"/>
        </w:numPr>
        <w:rPr>
          <w:rFonts w:asciiTheme="minorHAnsi" w:hAnsiTheme="minorHAnsi" w:cstheme="minorHAnsi"/>
          <w:color w:val="000000" w:themeColor="text1"/>
        </w:rPr>
      </w:pPr>
      <w:r w:rsidRPr="007E3D0B">
        <w:rPr>
          <w:rFonts w:asciiTheme="minorHAnsi" w:hAnsiTheme="minorHAnsi" w:cstheme="minorHAnsi"/>
          <w:b/>
          <w:bCs/>
          <w:color w:val="000000" w:themeColor="text1"/>
        </w:rPr>
        <w:t>Conselho Fiscal:</w:t>
      </w:r>
      <w:r w:rsidRPr="007E3D0B">
        <w:rPr>
          <w:rFonts w:asciiTheme="minorHAnsi" w:hAnsiTheme="minorHAnsi" w:cstheme="minorHAnsi"/>
          <w:color w:val="000000" w:themeColor="text1"/>
        </w:rPr>
        <w:t xml:space="preserve"> responsável por fiscalizar a gestão administrativa, contábil e financeira;</w:t>
      </w:r>
    </w:p>
    <w:p w14:paraId="30F5782B" w14:textId="77777777" w:rsidR="0065079B" w:rsidRPr="007E3D0B" w:rsidRDefault="0065079B" w:rsidP="0065079B">
      <w:pPr>
        <w:pStyle w:val="PargrafodaLista"/>
        <w:rPr>
          <w:rFonts w:asciiTheme="minorHAnsi" w:hAnsiTheme="minorHAnsi" w:cstheme="minorHAnsi"/>
          <w:color w:val="000000" w:themeColor="text1"/>
        </w:rPr>
      </w:pPr>
    </w:p>
    <w:p w14:paraId="540FC6E9" w14:textId="77777777" w:rsidR="001D7C80" w:rsidRPr="007E3D0B" w:rsidRDefault="001D7C80" w:rsidP="008B69D1">
      <w:pPr>
        <w:pStyle w:val="PargrafodaLista"/>
        <w:numPr>
          <w:ilvl w:val="0"/>
          <w:numId w:val="12"/>
        </w:numPr>
        <w:rPr>
          <w:rFonts w:asciiTheme="minorHAnsi" w:hAnsiTheme="minorHAnsi" w:cstheme="minorHAnsi"/>
          <w:color w:val="000000" w:themeColor="text1"/>
        </w:rPr>
      </w:pPr>
      <w:r w:rsidRPr="007E3D0B">
        <w:rPr>
          <w:rFonts w:asciiTheme="minorHAnsi" w:hAnsiTheme="minorHAnsi" w:cstheme="minorHAnsi"/>
          <w:b/>
          <w:bCs/>
          <w:color w:val="000000" w:themeColor="text1"/>
        </w:rPr>
        <w:t>Comitê de Investimentos:</w:t>
      </w:r>
      <w:r w:rsidRPr="007E3D0B">
        <w:rPr>
          <w:rFonts w:asciiTheme="minorHAnsi" w:hAnsiTheme="minorHAnsi" w:cstheme="minorHAnsi"/>
          <w:color w:val="000000" w:themeColor="text1"/>
        </w:rPr>
        <w:t xml:space="preserve"> órgão técnico de formulação e execução da Política de Investimentos, que analisa cenários, propõe estratégias e acompanha a performance da carteira</w:t>
      </w:r>
      <w:r w:rsidR="004F2557" w:rsidRPr="007E3D0B">
        <w:rPr>
          <w:rFonts w:asciiTheme="minorHAnsi" w:hAnsiTheme="minorHAnsi" w:cstheme="minorHAnsi"/>
          <w:color w:val="000000" w:themeColor="text1"/>
        </w:rPr>
        <w:t xml:space="preserve"> de investimentos</w:t>
      </w:r>
      <w:r w:rsidRPr="007E3D0B">
        <w:rPr>
          <w:rFonts w:asciiTheme="minorHAnsi" w:hAnsiTheme="minorHAnsi" w:cstheme="minorHAnsi"/>
          <w:color w:val="000000" w:themeColor="text1"/>
        </w:rPr>
        <w:t>.</w:t>
      </w:r>
    </w:p>
    <w:p w14:paraId="7C4EC8CF" w14:textId="77777777" w:rsidR="004274D2" w:rsidRPr="007E3D0B" w:rsidRDefault="001D7C80" w:rsidP="001D7C8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Todo o processo de execução da Política de Investimentos e de outras </w:t>
      </w:r>
      <w:r w:rsidR="004F2557" w:rsidRPr="007E3D0B">
        <w:rPr>
          <w:rFonts w:asciiTheme="minorHAnsi" w:hAnsiTheme="minorHAnsi" w:cstheme="minorHAnsi"/>
          <w:color w:val="000000" w:themeColor="text1"/>
        </w:rPr>
        <w:t>diretrizes legais devem</w:t>
      </w:r>
      <w:r w:rsidRPr="007E3D0B">
        <w:rPr>
          <w:rFonts w:asciiTheme="minorHAnsi" w:hAnsiTheme="minorHAnsi" w:cstheme="minorHAnsi"/>
          <w:color w:val="000000" w:themeColor="text1"/>
        </w:rPr>
        <w:t xml:space="preserve"> ser </w:t>
      </w:r>
      <w:r w:rsidR="00DF567C" w:rsidRPr="007E3D0B">
        <w:rPr>
          <w:rFonts w:asciiTheme="minorHAnsi" w:hAnsiTheme="minorHAnsi" w:cstheme="minorHAnsi"/>
          <w:color w:val="000000" w:themeColor="text1"/>
        </w:rPr>
        <w:t>deliberadas e fiscalizadas</w:t>
      </w:r>
      <w:r w:rsidRPr="007E3D0B">
        <w:rPr>
          <w:rFonts w:asciiTheme="minorHAnsi" w:hAnsiTheme="minorHAnsi" w:cstheme="minorHAnsi"/>
          <w:color w:val="000000" w:themeColor="text1"/>
        </w:rPr>
        <w:t xml:space="preserve"> pelos conselhos competentes, com apoio dos mecanismos de controle interno, assegurando transparência e conformidade em todas as etapas.</w:t>
      </w:r>
    </w:p>
    <w:p w14:paraId="757AAA2D" w14:textId="77777777" w:rsidR="00635488" w:rsidRPr="007E3D0B" w:rsidRDefault="00635488" w:rsidP="004274D2">
      <w:pPr>
        <w:rPr>
          <w:rFonts w:asciiTheme="minorHAnsi" w:hAnsiTheme="minorHAnsi" w:cstheme="minorHAnsi"/>
          <w:color w:val="000000" w:themeColor="text1"/>
        </w:rPr>
      </w:pPr>
    </w:p>
    <w:p w14:paraId="7DDF7FA6" w14:textId="77777777" w:rsidR="00500AE2" w:rsidRPr="007E3D0B" w:rsidRDefault="00BE6AF2" w:rsidP="00A468C9">
      <w:pPr>
        <w:pStyle w:val="Ttulo2"/>
        <w:rPr>
          <w:rFonts w:asciiTheme="minorHAnsi" w:hAnsiTheme="minorHAnsi" w:cstheme="minorHAnsi"/>
          <w:color w:val="000000" w:themeColor="text1"/>
          <w:sz w:val="22"/>
          <w:szCs w:val="22"/>
        </w:rPr>
      </w:pPr>
      <w:bookmarkStart w:id="15" w:name="_Toc118105129"/>
      <w:r w:rsidRPr="007E3D0B">
        <w:rPr>
          <w:rFonts w:asciiTheme="minorHAnsi" w:hAnsiTheme="minorHAnsi" w:cstheme="minorHAnsi"/>
          <w:color w:val="000000" w:themeColor="text1"/>
          <w:sz w:val="22"/>
          <w:szCs w:val="22"/>
        </w:rPr>
        <w:t>Modelo de Gestão</w:t>
      </w:r>
      <w:bookmarkEnd w:id="15"/>
    </w:p>
    <w:p w14:paraId="0230F487" w14:textId="77777777" w:rsidR="007658EB" w:rsidRPr="007E3D0B" w:rsidRDefault="007658EB" w:rsidP="007658EB">
      <w:pPr>
        <w:rPr>
          <w:rFonts w:asciiTheme="minorHAnsi" w:hAnsiTheme="minorHAnsi" w:cstheme="minorHAnsi"/>
          <w:bCs/>
          <w:color w:val="000000" w:themeColor="text1"/>
        </w:rPr>
      </w:pPr>
      <w:r w:rsidRPr="007E3D0B">
        <w:rPr>
          <w:rFonts w:asciiTheme="minorHAnsi" w:hAnsiTheme="minorHAnsi" w:cstheme="minorHAnsi"/>
          <w:bCs/>
          <w:color w:val="000000" w:themeColor="text1"/>
        </w:rPr>
        <w:t>De acordo com as hipóteses previstas na Portaria MTP nº 1.467/2022, em seu art. 95, incisos I, II e III, a gestão das aplicações dos recursos poderá ser realizada por meio de gestão própria, terceirizada ou mista.</w:t>
      </w:r>
    </w:p>
    <w:p w14:paraId="2B217DD7" w14:textId="77777777" w:rsidR="007658EB" w:rsidRPr="007E3D0B" w:rsidRDefault="007658EB" w:rsidP="007658EB">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Para a vigência desta Política de Investimentos, a gestão das aplicações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será </w:t>
      </w:r>
      <w:r w:rsidRPr="007E3D0B">
        <w:rPr>
          <w:rFonts w:asciiTheme="minorHAnsi" w:hAnsiTheme="minorHAnsi" w:cstheme="minorHAnsi"/>
          <w:b/>
          <w:color w:val="000000" w:themeColor="text1"/>
        </w:rPr>
        <w:t>PRÓPRIA</w:t>
      </w:r>
      <w:r w:rsidRPr="007E3D0B">
        <w:rPr>
          <w:rFonts w:asciiTheme="minorHAnsi" w:hAnsiTheme="minorHAnsi" w:cstheme="minorHAnsi"/>
          <w:bCs/>
          <w:color w:val="000000" w:themeColor="text1"/>
        </w:rPr>
        <w:t>.</w:t>
      </w:r>
    </w:p>
    <w:p w14:paraId="3EE56DAF" w14:textId="77777777" w:rsidR="007658EB" w:rsidRPr="007E3D0B" w:rsidRDefault="007658EB" w:rsidP="007658EB">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adoção deste modelo significa que a totalidade dos recursos financeiros ficará sob a gestão e responsabilidade do próprio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na figura dos colaboradores diretamente envolvidos no processo de gestão dos recursos e investimentos.</w:t>
      </w:r>
    </w:p>
    <w:p w14:paraId="02ADB57C" w14:textId="77777777" w:rsidR="00500AE2" w:rsidRPr="007E3D0B" w:rsidRDefault="007658EB" w:rsidP="007658EB">
      <w:pPr>
        <w:rPr>
          <w:rFonts w:asciiTheme="minorHAnsi" w:hAnsiTheme="minorHAnsi" w:cstheme="minorHAnsi"/>
          <w:color w:val="000000" w:themeColor="text1"/>
        </w:rPr>
      </w:pPr>
      <w:r w:rsidRPr="007E3D0B">
        <w:rPr>
          <w:rFonts w:asciiTheme="minorHAnsi" w:hAnsiTheme="minorHAnsi" w:cstheme="minorHAnsi"/>
          <w:bCs/>
          <w:color w:val="000000" w:themeColor="text1"/>
        </w:rPr>
        <w:t>A gestão das aplicações dos recursos contará com profissionais qualificados e certificados por entidade de certificação reconhecida pelo Ministério da Previdência Social, por intermédio da Secretaria de Previdência, conforme exigido na Portaria MTP nº 1.467/2022 e suas alterações.</w:t>
      </w:r>
    </w:p>
    <w:p w14:paraId="5D180088" w14:textId="77777777" w:rsidR="00635488" w:rsidRPr="007E3D0B" w:rsidRDefault="00635488" w:rsidP="00500AE2">
      <w:pPr>
        <w:rPr>
          <w:rFonts w:asciiTheme="minorHAnsi" w:hAnsiTheme="minorHAnsi" w:cstheme="minorHAnsi"/>
          <w:color w:val="000000" w:themeColor="text1"/>
        </w:rPr>
      </w:pPr>
    </w:p>
    <w:p w14:paraId="7CD93ADF" w14:textId="77777777" w:rsidR="00500AE2" w:rsidRPr="007E3D0B" w:rsidRDefault="005321C1" w:rsidP="00A468C9">
      <w:pPr>
        <w:pStyle w:val="Ttulo2"/>
        <w:rPr>
          <w:rFonts w:asciiTheme="minorHAnsi" w:hAnsiTheme="minorHAnsi" w:cstheme="minorHAnsi"/>
          <w:color w:val="000000" w:themeColor="text1"/>
          <w:sz w:val="22"/>
          <w:szCs w:val="22"/>
        </w:rPr>
      </w:pPr>
      <w:bookmarkStart w:id="16" w:name="_Toc435189691"/>
      <w:bookmarkStart w:id="17" w:name="_Toc435202749"/>
      <w:bookmarkStart w:id="18" w:name="_Toc490036555"/>
      <w:bookmarkStart w:id="19" w:name="_Toc118105130"/>
      <w:r w:rsidRPr="007E3D0B">
        <w:rPr>
          <w:rFonts w:asciiTheme="minorHAnsi" w:hAnsiTheme="minorHAnsi" w:cstheme="minorHAnsi"/>
          <w:color w:val="000000" w:themeColor="text1"/>
          <w:sz w:val="22"/>
          <w:szCs w:val="22"/>
        </w:rPr>
        <w:t xml:space="preserve">Órgãos de </w:t>
      </w:r>
      <w:bookmarkEnd w:id="16"/>
      <w:bookmarkEnd w:id="17"/>
      <w:bookmarkEnd w:id="18"/>
      <w:bookmarkEnd w:id="19"/>
      <w:r w:rsidR="00CA7D91" w:rsidRPr="007E3D0B">
        <w:rPr>
          <w:rFonts w:asciiTheme="minorHAnsi" w:hAnsiTheme="minorHAnsi" w:cstheme="minorHAnsi"/>
          <w:color w:val="000000" w:themeColor="text1"/>
          <w:sz w:val="22"/>
          <w:szCs w:val="22"/>
        </w:rPr>
        <w:t>Execu</w:t>
      </w:r>
      <w:r w:rsidR="00E2752D" w:rsidRPr="007E3D0B">
        <w:rPr>
          <w:rFonts w:asciiTheme="minorHAnsi" w:hAnsiTheme="minorHAnsi" w:cstheme="minorHAnsi"/>
          <w:color w:val="000000" w:themeColor="text1"/>
          <w:sz w:val="22"/>
          <w:szCs w:val="22"/>
        </w:rPr>
        <w:t xml:space="preserve">ção, Deliberação </w:t>
      </w:r>
      <w:r w:rsidR="00240515" w:rsidRPr="007E3D0B">
        <w:rPr>
          <w:rFonts w:asciiTheme="minorHAnsi" w:hAnsiTheme="minorHAnsi" w:cstheme="minorHAnsi"/>
          <w:color w:val="000000" w:themeColor="text1"/>
          <w:sz w:val="22"/>
          <w:szCs w:val="22"/>
        </w:rPr>
        <w:t>e Fiscalização</w:t>
      </w:r>
    </w:p>
    <w:p w14:paraId="34B46936" w14:textId="77777777" w:rsidR="00E10394" w:rsidRPr="007E3D0B" w:rsidRDefault="00E10394" w:rsidP="00E1039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Os recursos financeiros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visam à constituição das reservas garantidoras dos benefícios e devem ser mantidos e controlados de forma segregada dos recursos do Ente Federativo. Esses mesmos recursos serão geridos em conformidade com a Política de Investimentos, com os critérios para credenciamento das Instituições Financeiras e contratação de prestadores de serviços.</w:t>
      </w:r>
    </w:p>
    <w:p w14:paraId="0834FB30" w14:textId="25F9F19C" w:rsidR="00E10394" w:rsidRPr="007E3D0B" w:rsidRDefault="00E10394" w:rsidP="00E10394">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estrutura interna definida através da </w:t>
      </w:r>
      <w:r w:rsidR="00D4250A" w:rsidRPr="00D4250A">
        <w:rPr>
          <w:rFonts w:asciiTheme="minorHAnsi" w:hAnsiTheme="minorHAnsi" w:cstheme="minorHAnsi"/>
          <w:bCs/>
          <w:color w:val="000000" w:themeColor="text1"/>
        </w:rPr>
        <w:t>LEI DE CRIAÇÃO 2358/2018</w:t>
      </w:r>
      <w:r w:rsidR="00D4250A">
        <w:rPr>
          <w:rFonts w:asciiTheme="minorHAnsi" w:hAnsiTheme="minorHAnsi" w:cstheme="minorHAnsi"/>
          <w:bCs/>
          <w:color w:val="000000" w:themeColor="text1"/>
        </w:rPr>
        <w:t xml:space="preserve"> </w:t>
      </w:r>
      <w:r w:rsidRPr="007E3D0B">
        <w:rPr>
          <w:rFonts w:asciiTheme="minorHAnsi" w:hAnsiTheme="minorHAnsi" w:cstheme="minorHAnsi"/>
          <w:bCs/>
          <w:color w:val="000000" w:themeColor="text1"/>
        </w:rPr>
        <w:t>garante a segregação de atividades entre dirigentes, conselheiros, gestores dos recursos e membros do Comitê de Investimentos, em linha com as boas práticas de gestão e governança previdenciária.</w:t>
      </w:r>
    </w:p>
    <w:p w14:paraId="7395073F" w14:textId="77777777" w:rsidR="00A95855" w:rsidRPr="007E3D0B" w:rsidRDefault="00A95855" w:rsidP="00A468C9">
      <w:pPr>
        <w:pStyle w:val="Ttulo3"/>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Conselho Deliberativo</w:t>
      </w:r>
    </w:p>
    <w:p w14:paraId="3743FF89" w14:textId="77777777" w:rsidR="00C13ABC" w:rsidRPr="007E3D0B" w:rsidRDefault="00B90D5E" w:rsidP="00C13ABC">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Compete ao Conselho Deliberativo aprovar a Política de Investimentos e acompanhar sua execução, deliberar sobre as estratégias de gestão de recursos e zelar pelo cumprimento das normas e objetivos previdenciários. Atua como instância máxima de decisão no âmbito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com responsabilidade de orientar a condução da gestão em consonância com os princípios de legalidade, eficiência e interesse público.</w:t>
      </w:r>
    </w:p>
    <w:p w14:paraId="46AF0A27" w14:textId="77777777" w:rsidR="00A95855" w:rsidRPr="007E3D0B" w:rsidRDefault="00A95855" w:rsidP="00A468C9">
      <w:pPr>
        <w:pStyle w:val="Ttulo3"/>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Conselho Fiscal</w:t>
      </w:r>
    </w:p>
    <w:p w14:paraId="44255CC6" w14:textId="77777777" w:rsidR="00D46C95" w:rsidRPr="007E3D0B" w:rsidRDefault="005D6146" w:rsidP="00D46C95">
      <w:pPr>
        <w:rPr>
          <w:rFonts w:asciiTheme="minorHAnsi" w:hAnsiTheme="minorHAnsi" w:cstheme="minorHAnsi"/>
          <w:color w:val="000000" w:themeColor="text1"/>
        </w:rPr>
      </w:pPr>
      <w:r w:rsidRPr="007E3D0B">
        <w:rPr>
          <w:rFonts w:asciiTheme="minorHAnsi" w:hAnsiTheme="minorHAnsi" w:cstheme="minorHAnsi"/>
          <w:color w:val="000000" w:themeColor="text1"/>
        </w:rPr>
        <w:t>Compete ao Conselho Fiscal examinar e emitir parecer sobre a gestão administrativa, contábil e financeira, acompanha</w:t>
      </w:r>
      <w:r w:rsidR="00004E80" w:rsidRPr="007E3D0B">
        <w:rPr>
          <w:rFonts w:asciiTheme="minorHAnsi" w:hAnsiTheme="minorHAnsi" w:cstheme="minorHAnsi"/>
          <w:color w:val="000000" w:themeColor="text1"/>
        </w:rPr>
        <w:t>r</w:t>
      </w:r>
      <w:r w:rsidRPr="007E3D0B">
        <w:rPr>
          <w:rFonts w:asciiTheme="minorHAnsi" w:hAnsiTheme="minorHAnsi" w:cstheme="minorHAnsi"/>
          <w:color w:val="000000" w:themeColor="text1"/>
        </w:rPr>
        <w:t xml:space="preserve"> a execução orçamentária e verifica</w:t>
      </w:r>
      <w:r w:rsidR="00004E80" w:rsidRPr="007E3D0B">
        <w:rPr>
          <w:rFonts w:asciiTheme="minorHAnsi" w:hAnsiTheme="minorHAnsi" w:cstheme="minorHAnsi"/>
          <w:color w:val="000000" w:themeColor="text1"/>
        </w:rPr>
        <w:t>r</w:t>
      </w:r>
      <w:r w:rsidRPr="007E3D0B">
        <w:rPr>
          <w:rFonts w:asciiTheme="minorHAnsi" w:hAnsiTheme="minorHAnsi" w:cstheme="minorHAnsi"/>
          <w:color w:val="000000" w:themeColor="text1"/>
        </w:rPr>
        <w:t xml:space="preserve"> a conformidade da aplicação dos recursos com a legislação vigente e com esta Política de Investimentos. Sua atuação assegura a fiscalização independente e contínua das atividades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fortalecendo o controle </w:t>
      </w:r>
      <w:r w:rsidR="000E0C02" w:rsidRPr="007E3D0B">
        <w:rPr>
          <w:rFonts w:asciiTheme="minorHAnsi" w:hAnsiTheme="minorHAnsi" w:cstheme="minorHAnsi"/>
          <w:color w:val="000000" w:themeColor="text1"/>
        </w:rPr>
        <w:t>interno</w:t>
      </w:r>
      <w:r w:rsidRPr="007E3D0B">
        <w:rPr>
          <w:rFonts w:asciiTheme="minorHAnsi" w:hAnsiTheme="minorHAnsi" w:cstheme="minorHAnsi"/>
          <w:color w:val="000000" w:themeColor="text1"/>
        </w:rPr>
        <w:t>.</w:t>
      </w:r>
    </w:p>
    <w:p w14:paraId="6864F344" w14:textId="77777777" w:rsidR="00A95855" w:rsidRPr="007E3D0B" w:rsidRDefault="002C3A3D" w:rsidP="00A468C9">
      <w:pPr>
        <w:pStyle w:val="Ttulo3"/>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Comitê de Investimentos</w:t>
      </w:r>
    </w:p>
    <w:p w14:paraId="03D561A8" w14:textId="77777777" w:rsidR="00500AE2" w:rsidRPr="007E3D0B" w:rsidRDefault="002C3A3D"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C</w:t>
      </w:r>
      <w:r w:rsidR="00500AE2" w:rsidRPr="007E3D0B">
        <w:rPr>
          <w:rFonts w:asciiTheme="minorHAnsi" w:hAnsiTheme="minorHAnsi" w:cstheme="minorHAnsi"/>
          <w:bCs/>
          <w:color w:val="000000" w:themeColor="text1"/>
        </w:rPr>
        <w:t xml:space="preserve">ompete ao Comitê de Investimentos a formulação e execução da Política de Investimento juntamente com a Diretoria Executiva e Gestor dos Recursos, que devem submetê-la para aprovação do Conselho Deliberativo e fiscalização do Conselho Fiscal, </w:t>
      </w:r>
      <w:r w:rsidR="00CA3785" w:rsidRPr="007E3D0B">
        <w:rPr>
          <w:rFonts w:asciiTheme="minorHAnsi" w:hAnsiTheme="minorHAnsi" w:cstheme="minorHAnsi"/>
          <w:bCs/>
          <w:color w:val="000000" w:themeColor="text1"/>
        </w:rPr>
        <w:t xml:space="preserve">ambos </w:t>
      </w:r>
      <w:r w:rsidR="00500AE2" w:rsidRPr="007E3D0B">
        <w:rPr>
          <w:rFonts w:asciiTheme="minorHAnsi" w:hAnsiTheme="minorHAnsi" w:cstheme="minorHAnsi"/>
          <w:bCs/>
          <w:color w:val="000000" w:themeColor="text1"/>
        </w:rPr>
        <w:t xml:space="preserve">órgãos superiores de competência do </w:t>
      </w:r>
      <w:r w:rsidRPr="007E3D0B">
        <w:rPr>
          <w:rFonts w:asciiTheme="minorHAnsi" w:hAnsiTheme="minorHAnsi" w:cstheme="minorHAnsi"/>
          <w:b/>
          <w:bCs/>
          <w:color w:val="000000" w:themeColor="text1"/>
        </w:rPr>
        <w:t>INSTITUTO DE PREVIDÊNCIA MUNICIPAL DE SANTO ANTÔNIO DE POSSE - IPREM POSSE</w:t>
      </w:r>
      <w:r w:rsidR="00500AE2" w:rsidRPr="007E3D0B">
        <w:rPr>
          <w:rFonts w:asciiTheme="minorHAnsi" w:hAnsiTheme="minorHAnsi" w:cstheme="minorHAnsi"/>
          <w:bCs/>
          <w:color w:val="000000" w:themeColor="text1"/>
        </w:rPr>
        <w:t>.</w:t>
      </w:r>
    </w:p>
    <w:p w14:paraId="2C10175D" w14:textId="77777777" w:rsidR="00DF3284" w:rsidRPr="007E3D0B" w:rsidRDefault="009A73B4" w:rsidP="00A468C9">
      <w:pPr>
        <w:pStyle w:val="Ttulo3"/>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Conflito de Interesses</w:t>
      </w:r>
    </w:p>
    <w:p w14:paraId="005D2082"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Em casos de Conflito de Interesse entre os membros integrantes do Comitê de Investimentos, Diretoria Executiva e Conselhos</w:t>
      </w:r>
      <w:r w:rsidR="00CA3785" w:rsidRPr="007E3D0B">
        <w:rPr>
          <w:rFonts w:asciiTheme="minorHAnsi" w:hAnsiTheme="minorHAnsi" w:cstheme="minorHAnsi"/>
          <w:bCs/>
          <w:color w:val="000000" w:themeColor="text1"/>
        </w:rPr>
        <w:t xml:space="preserve"> Deliberativo e Fiscal</w:t>
      </w:r>
      <w:r w:rsidRPr="007E3D0B">
        <w:rPr>
          <w:rFonts w:asciiTheme="minorHAnsi" w:hAnsiTheme="minorHAnsi" w:cstheme="minorHAnsi"/>
          <w:bCs/>
          <w:color w:val="000000" w:themeColor="text1"/>
        </w:rPr>
        <w:t>, a participação do conflitante como voto de qualidade será impedida e/ou anulada, sendo devidamente registrado em ata de reunião.</w:t>
      </w:r>
    </w:p>
    <w:p w14:paraId="0FB4C6EA"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Não fica excluída a possibilidade da participação de um Consultor de Valores Mobiliários no fornecimento de “minuta” para a elaboração da Política de Investimentos, bem como propostas de revisão para apreciação do Gestor dos Recursos, Comitê de Investimentos e Diretoria Executiva.</w:t>
      </w:r>
    </w:p>
    <w:p w14:paraId="253FAE84" w14:textId="77777777" w:rsidR="00635488" w:rsidRPr="007E3D0B" w:rsidRDefault="00635488" w:rsidP="00500AE2">
      <w:pPr>
        <w:rPr>
          <w:rFonts w:asciiTheme="minorHAnsi" w:hAnsiTheme="minorHAnsi" w:cstheme="minorHAnsi"/>
          <w:bCs/>
          <w:color w:val="000000" w:themeColor="text1"/>
        </w:rPr>
      </w:pPr>
    </w:p>
    <w:p w14:paraId="1716C5F1" w14:textId="77777777" w:rsidR="003576B4" w:rsidRPr="007E3D0B" w:rsidRDefault="00B21602"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lastRenderedPageBreak/>
        <w:t xml:space="preserve">Observância aos </w:t>
      </w:r>
      <w:r w:rsidR="006C50B5" w:rsidRPr="007E3D0B">
        <w:rPr>
          <w:rFonts w:asciiTheme="minorHAnsi" w:hAnsiTheme="minorHAnsi" w:cstheme="minorHAnsi"/>
          <w:color w:val="000000" w:themeColor="text1"/>
          <w:sz w:val="22"/>
          <w:szCs w:val="22"/>
        </w:rPr>
        <w:t>C</w:t>
      </w:r>
      <w:r w:rsidRPr="007E3D0B">
        <w:rPr>
          <w:rFonts w:asciiTheme="minorHAnsi" w:hAnsiTheme="minorHAnsi" w:cstheme="minorHAnsi"/>
          <w:color w:val="000000" w:themeColor="text1"/>
          <w:sz w:val="22"/>
          <w:szCs w:val="22"/>
        </w:rPr>
        <w:t xml:space="preserve">ritérios de </w:t>
      </w:r>
      <w:r w:rsidR="006C50B5" w:rsidRPr="007E3D0B">
        <w:rPr>
          <w:rFonts w:asciiTheme="minorHAnsi" w:hAnsiTheme="minorHAnsi" w:cstheme="minorHAnsi"/>
          <w:color w:val="000000" w:themeColor="text1"/>
          <w:sz w:val="22"/>
          <w:szCs w:val="22"/>
        </w:rPr>
        <w:t>Elegibilidade</w:t>
      </w:r>
    </w:p>
    <w:p w14:paraId="5FB47F3F" w14:textId="77777777" w:rsidR="00346906" w:rsidRPr="007E3D0B" w:rsidRDefault="00346906" w:rsidP="00346906">
      <w:pPr>
        <w:rPr>
          <w:rFonts w:asciiTheme="minorHAnsi" w:hAnsiTheme="minorHAnsi" w:cstheme="minorHAnsi"/>
          <w:color w:val="000000" w:themeColor="text1"/>
        </w:rPr>
      </w:pPr>
      <w:bookmarkStart w:id="20" w:name="_Toc118105131"/>
      <w:r w:rsidRPr="007E3D0B">
        <w:rPr>
          <w:rFonts w:asciiTheme="minorHAnsi" w:hAnsiTheme="minorHAnsi" w:cstheme="minorHAnsi"/>
          <w:color w:val="000000" w:themeColor="text1"/>
        </w:rPr>
        <w:t xml:space="preserve">Os responsáveis pela gestão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 aqueles que participam diretamente do processo de análise, avaliação, gerenciamento, assessoramento e decisão estão submetidos a critérios de elegibilidade, em razão da relevância de suas atribuições.</w:t>
      </w:r>
    </w:p>
    <w:p w14:paraId="2A8285C8" w14:textId="77777777" w:rsidR="00346906" w:rsidRPr="007E3D0B" w:rsidRDefault="00346906" w:rsidP="0034690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critérios de elegibilidade e permanência nos cargos dentro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estão descritos na Lei nº 9.717, de 27 de novembro de 1998 (“Lei nº 9.717/1998”), incluídos pela Lei nº 13.846, de 18 de junho de 2019 (“Lei nº 13.846/2019”) e na Portaria MTP nº 1.467/2022, em seu Art. 76, além das exigências constantes no Manual de Certificação Profissional RPPS versão 1.5.</w:t>
      </w:r>
    </w:p>
    <w:p w14:paraId="6C5300BA" w14:textId="77777777" w:rsidR="00346906" w:rsidRPr="007E3D0B" w:rsidRDefault="00346906" w:rsidP="0034690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membros da Diretoria Executiva, do Comitê de Investimentos, dos Conselhos Deliberativo e Fiscal e o Gestor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deverão atender, cumulativamente, aos seguintes requisitos mínimos:</w:t>
      </w:r>
    </w:p>
    <w:p w14:paraId="474FCCD1" w14:textId="77777777" w:rsidR="006C15A0" w:rsidRPr="007E3D0B" w:rsidRDefault="00346906" w:rsidP="008B69D1">
      <w:pPr>
        <w:pStyle w:val="PargrafodaLista"/>
        <w:numPr>
          <w:ilvl w:val="0"/>
          <w:numId w:val="13"/>
        </w:numPr>
        <w:rPr>
          <w:rFonts w:asciiTheme="minorHAnsi" w:hAnsiTheme="minorHAnsi" w:cstheme="minorHAnsi"/>
          <w:color w:val="000000" w:themeColor="text1"/>
        </w:rPr>
      </w:pPr>
      <w:r w:rsidRPr="007E3D0B">
        <w:rPr>
          <w:rFonts w:asciiTheme="minorHAnsi" w:hAnsiTheme="minorHAnsi" w:cstheme="minorHAnsi"/>
          <w:color w:val="000000" w:themeColor="text1"/>
        </w:rPr>
        <w:t>não ter sofrido condenação criminal ou incidido em alguma das situações de inelegibilidade previstas na legislação aplicável</w:t>
      </w:r>
      <w:r w:rsidR="006C15A0" w:rsidRPr="007E3D0B">
        <w:rPr>
          <w:rFonts w:asciiTheme="minorHAnsi" w:hAnsiTheme="minorHAnsi" w:cstheme="minorHAnsi"/>
          <w:color w:val="000000" w:themeColor="text1"/>
        </w:rPr>
        <w:t>;</w:t>
      </w:r>
    </w:p>
    <w:p w14:paraId="5B714178" w14:textId="77777777" w:rsidR="006C15A0" w:rsidRPr="007E3D0B" w:rsidRDefault="006C15A0" w:rsidP="006C15A0">
      <w:pPr>
        <w:pStyle w:val="PargrafodaLista"/>
        <w:rPr>
          <w:rFonts w:asciiTheme="minorHAnsi" w:hAnsiTheme="minorHAnsi" w:cstheme="minorHAnsi"/>
          <w:color w:val="000000" w:themeColor="text1"/>
        </w:rPr>
      </w:pPr>
    </w:p>
    <w:p w14:paraId="22E986BE" w14:textId="77777777" w:rsidR="006C15A0" w:rsidRPr="007E3D0B" w:rsidRDefault="00346906" w:rsidP="008B69D1">
      <w:pPr>
        <w:pStyle w:val="PargrafodaLista"/>
        <w:numPr>
          <w:ilvl w:val="0"/>
          <w:numId w:val="13"/>
        </w:numPr>
        <w:rPr>
          <w:rFonts w:asciiTheme="minorHAnsi" w:hAnsiTheme="minorHAnsi" w:cstheme="minorHAnsi"/>
          <w:color w:val="000000" w:themeColor="text1"/>
        </w:rPr>
      </w:pPr>
      <w:r w:rsidRPr="007E3D0B">
        <w:rPr>
          <w:rFonts w:asciiTheme="minorHAnsi" w:hAnsiTheme="minorHAnsi" w:cstheme="minorHAnsi"/>
          <w:color w:val="000000" w:themeColor="text1"/>
        </w:rPr>
        <w:t>possuir certificação válida, obtida junto a entidade certificadora reconhecida pelo Ministério da Previdência Social, por meio da Secretaria de Previdência, conforme os critérios do Manual de Certificação Profissional RPPS versão 1.5;</w:t>
      </w:r>
    </w:p>
    <w:p w14:paraId="73E2DAF2" w14:textId="77777777" w:rsidR="006C15A0" w:rsidRPr="007E3D0B" w:rsidRDefault="006C15A0" w:rsidP="006C15A0">
      <w:pPr>
        <w:pStyle w:val="PargrafodaLista"/>
        <w:rPr>
          <w:rFonts w:asciiTheme="minorHAnsi" w:hAnsiTheme="minorHAnsi" w:cstheme="minorHAnsi"/>
          <w:color w:val="000000" w:themeColor="text1"/>
        </w:rPr>
      </w:pPr>
    </w:p>
    <w:p w14:paraId="60F67165" w14:textId="77777777" w:rsidR="006C15A0" w:rsidRPr="007E3D0B" w:rsidRDefault="00346906" w:rsidP="008B69D1">
      <w:pPr>
        <w:pStyle w:val="PargrafodaLista"/>
        <w:numPr>
          <w:ilvl w:val="0"/>
          <w:numId w:val="13"/>
        </w:numPr>
        <w:rPr>
          <w:rFonts w:asciiTheme="minorHAnsi" w:hAnsiTheme="minorHAnsi" w:cstheme="minorHAnsi"/>
          <w:color w:val="000000" w:themeColor="text1"/>
        </w:rPr>
      </w:pPr>
      <w:r w:rsidRPr="007E3D0B">
        <w:rPr>
          <w:rFonts w:asciiTheme="minorHAnsi" w:hAnsiTheme="minorHAnsi" w:cstheme="minorHAnsi"/>
          <w:color w:val="000000" w:themeColor="text1"/>
        </w:rPr>
        <w:t>possuir experiência comprovada no exercício de atividades nas áreas financeira, administrativa, contábil, jurídica, de fiscalização, atuarial ou de auditoria;</w:t>
      </w:r>
    </w:p>
    <w:p w14:paraId="696916B7" w14:textId="77777777" w:rsidR="006C15A0" w:rsidRPr="007E3D0B" w:rsidRDefault="006C15A0" w:rsidP="006C15A0">
      <w:pPr>
        <w:pStyle w:val="PargrafodaLista"/>
        <w:rPr>
          <w:rFonts w:asciiTheme="minorHAnsi" w:hAnsiTheme="minorHAnsi" w:cstheme="minorHAnsi"/>
          <w:color w:val="000000" w:themeColor="text1"/>
        </w:rPr>
      </w:pPr>
    </w:p>
    <w:p w14:paraId="7F996150" w14:textId="77777777" w:rsidR="00346906" w:rsidRPr="007E3D0B" w:rsidRDefault="00346906" w:rsidP="008B69D1">
      <w:pPr>
        <w:pStyle w:val="PargrafodaLista"/>
        <w:numPr>
          <w:ilvl w:val="0"/>
          <w:numId w:val="13"/>
        </w:numPr>
        <w:rPr>
          <w:rFonts w:asciiTheme="minorHAnsi" w:hAnsiTheme="minorHAnsi" w:cstheme="minorHAnsi"/>
          <w:color w:val="000000" w:themeColor="text1"/>
        </w:rPr>
      </w:pPr>
      <w:r w:rsidRPr="007E3D0B">
        <w:rPr>
          <w:rFonts w:asciiTheme="minorHAnsi" w:hAnsiTheme="minorHAnsi" w:cstheme="minorHAnsi"/>
          <w:color w:val="000000" w:themeColor="text1"/>
        </w:rPr>
        <w:t>ter formação superior.</w:t>
      </w:r>
    </w:p>
    <w:p w14:paraId="3A373D6A" w14:textId="77777777" w:rsidR="00346906" w:rsidRPr="007E3D0B" w:rsidRDefault="00346906" w:rsidP="00346906">
      <w:pPr>
        <w:rPr>
          <w:rFonts w:asciiTheme="minorHAnsi" w:hAnsiTheme="minorHAnsi" w:cstheme="minorHAnsi"/>
          <w:color w:val="000000" w:themeColor="text1"/>
        </w:rPr>
      </w:pPr>
      <w:r w:rsidRPr="007E3D0B">
        <w:rPr>
          <w:rFonts w:asciiTheme="minorHAnsi" w:hAnsiTheme="minorHAnsi" w:cstheme="minorHAnsi"/>
          <w:color w:val="000000" w:themeColor="text1"/>
        </w:rPr>
        <w:t>Os critérios “a” e “b” se aplicam aos membros dos Conselhos Deliberativo e Fiscal e do Comitê de Investimentos.</w:t>
      </w:r>
    </w:p>
    <w:p w14:paraId="743BCF04" w14:textId="77777777" w:rsidR="00346906" w:rsidRPr="007E3D0B" w:rsidRDefault="00346906" w:rsidP="0034690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De acordo com o Manual de Certificação Profissional RPPS versão 1.5, os dirigentes, membros dos conselhos, o Gestor dos Recursos e os integrantes do Comitê de Investimentos estão obrigados a apresentar suas respectivas certificações dentro dos prazos estabelecidos. Caberá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 ao Ente Federativo verificar o cumprimento dos critérios de elegibilidade e encaminhar as informações à Secretaria de Previdência.</w:t>
      </w:r>
    </w:p>
    <w:p w14:paraId="3581BF8B" w14:textId="77777777" w:rsidR="004A114E" w:rsidRPr="007E3D0B" w:rsidRDefault="00346906" w:rsidP="00346906">
      <w:pPr>
        <w:rPr>
          <w:rFonts w:asciiTheme="minorHAnsi" w:hAnsiTheme="minorHAnsi" w:cstheme="minorHAnsi"/>
          <w:color w:val="000000" w:themeColor="text1"/>
        </w:rPr>
      </w:pPr>
      <w:r w:rsidRPr="007E3D0B">
        <w:rPr>
          <w:rFonts w:asciiTheme="minorHAnsi" w:hAnsiTheme="minorHAnsi" w:cstheme="minorHAnsi"/>
          <w:color w:val="000000" w:themeColor="text1"/>
        </w:rPr>
        <w:t>A comprovação do critério “a” deverá ser atualizada a cada dois anos. Caso haja ocorrência impeditiva, o profissional deixará de ser considerado habilitado para o exercício da função a partir da data do ato ou fato obstativo. A comprovação do critério “b” será feita mediante apresentação do certificado emitido pela entidade certificadora após a obtenção da certificação RPPS, conforme as regras do Manual versão 1.5.</w:t>
      </w:r>
    </w:p>
    <w:bookmarkEnd w:id="20"/>
    <w:p w14:paraId="4D9E1156" w14:textId="77777777" w:rsidR="00BB4695" w:rsidRPr="007E3D0B" w:rsidRDefault="00BB4695">
      <w:pPr>
        <w:spacing w:before="0" w:after="160" w:line="259" w:lineRule="auto"/>
        <w:jc w:val="left"/>
        <w:rPr>
          <w:rFonts w:asciiTheme="minorHAnsi" w:hAnsiTheme="minorHAnsi" w:cstheme="minorHAnsi"/>
          <w:color w:val="000000" w:themeColor="text1"/>
        </w:rPr>
      </w:pPr>
      <w:r w:rsidRPr="007E3D0B">
        <w:rPr>
          <w:rFonts w:asciiTheme="minorHAnsi" w:hAnsiTheme="minorHAnsi" w:cstheme="minorHAnsi"/>
          <w:color w:val="000000" w:themeColor="text1"/>
        </w:rPr>
        <w:br w:type="page"/>
      </w:r>
    </w:p>
    <w:p w14:paraId="440BE1EA" w14:textId="77777777" w:rsidR="00500AE2" w:rsidRPr="007E3D0B" w:rsidRDefault="00500AE2" w:rsidP="00C8521E">
      <w:pPr>
        <w:pStyle w:val="Ttulo1"/>
        <w:rPr>
          <w:rFonts w:asciiTheme="minorHAnsi" w:hAnsiTheme="minorHAnsi" w:cstheme="minorHAnsi"/>
          <w:color w:val="000000" w:themeColor="text1"/>
          <w:sz w:val="22"/>
          <w:szCs w:val="22"/>
        </w:rPr>
      </w:pPr>
      <w:bookmarkStart w:id="21" w:name="_Toc496794775"/>
      <w:bookmarkStart w:id="22" w:name="_Toc435202746"/>
      <w:bookmarkStart w:id="23" w:name="_Toc490036552"/>
      <w:bookmarkStart w:id="24" w:name="_Toc118105136"/>
      <w:bookmarkStart w:id="25" w:name="_Toc213399431"/>
      <w:bookmarkEnd w:id="13"/>
      <w:bookmarkEnd w:id="14"/>
      <w:bookmarkEnd w:id="21"/>
      <w:r w:rsidRPr="007E3D0B">
        <w:rPr>
          <w:rFonts w:asciiTheme="minorHAnsi" w:hAnsiTheme="minorHAnsi" w:cstheme="minorHAnsi"/>
          <w:color w:val="000000" w:themeColor="text1"/>
          <w:sz w:val="22"/>
          <w:szCs w:val="22"/>
        </w:rPr>
        <w:lastRenderedPageBreak/>
        <w:t>META DE RENTABILIDADE</w:t>
      </w:r>
      <w:bookmarkEnd w:id="22"/>
      <w:bookmarkEnd w:id="23"/>
      <w:bookmarkEnd w:id="24"/>
      <w:bookmarkEnd w:id="25"/>
    </w:p>
    <w:p w14:paraId="16E6A766" w14:textId="77777777" w:rsidR="00FC26D2" w:rsidRPr="007E3D0B" w:rsidRDefault="00FC26D2" w:rsidP="00FC26D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Portaria MTP nº 1.467/2022, que estabelece as normas aplicáveis às avaliações atuariais dos Regimes Próprios de Previdência Social, determina que a taxa atuarial de juros a ser utilizada nas avaliações atuariais seja equivalente à taxa de juros parâmetro cujo ponto da Estrutura a Termo de Taxa de Juros Média – ETTJ esteja o mais próximo à duração do passivo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29B0C248" w14:textId="77777777" w:rsidR="00FC26D2" w:rsidRPr="007E3D0B" w:rsidRDefault="00FC26D2" w:rsidP="00FC26D2">
      <w:pPr>
        <w:rPr>
          <w:rFonts w:asciiTheme="minorHAnsi" w:hAnsiTheme="minorHAnsi" w:cstheme="minorHAnsi"/>
          <w:bCs/>
          <w:color w:val="000000" w:themeColor="text1"/>
        </w:rPr>
      </w:pPr>
      <w:r w:rsidRPr="007E3D0B">
        <w:rPr>
          <w:rFonts w:asciiTheme="minorHAnsi" w:hAnsiTheme="minorHAnsi" w:cstheme="minorHAnsi"/>
          <w:bCs/>
          <w:color w:val="000000" w:themeColor="text1"/>
        </w:rPr>
        <w:t>A taxa atuarial de juros, também conhecida como meta atuarial, é utilizada no cálculo das avaliações atuariais para trazer ao valor presente líquido todos os compromissos do plano de benefícios ao longo do tempo, determinando o montante de patrimônio que o RPPS deverá possuir para manter o equilíbrio atuarial.</w:t>
      </w:r>
    </w:p>
    <w:p w14:paraId="7D1A0FE8" w14:textId="77777777" w:rsidR="00FC26D2" w:rsidRPr="007E3D0B" w:rsidRDefault="00FC26D2" w:rsidP="00FC26D2">
      <w:pPr>
        <w:rPr>
          <w:rFonts w:asciiTheme="minorHAnsi" w:hAnsiTheme="minorHAnsi" w:cstheme="minorHAnsi"/>
          <w:bCs/>
          <w:color w:val="000000" w:themeColor="text1"/>
        </w:rPr>
      </w:pPr>
      <w:r w:rsidRPr="007E3D0B">
        <w:rPr>
          <w:rFonts w:asciiTheme="minorHAnsi" w:hAnsiTheme="minorHAnsi" w:cstheme="minorHAnsi"/>
          <w:bCs/>
          <w:color w:val="000000" w:themeColor="text1"/>
        </w:rPr>
        <w:t>Esse equilíbrio somente será possível se os recursos forem remunerados, no mínimo, por uma taxa igual ou superior. Caso a taxa que remunere os recursos seja inferior à taxa utilizada no cálculo atuarial, o plano de benefícios se tornará deficitário, comprometendo o pagamento futuro dos benefícios.</w:t>
      </w:r>
    </w:p>
    <w:p w14:paraId="6BE1299F" w14:textId="77777777" w:rsidR="00FC26D2" w:rsidRPr="007E3D0B" w:rsidRDefault="00FC26D2" w:rsidP="00FC26D2">
      <w:pPr>
        <w:rPr>
          <w:rFonts w:asciiTheme="minorHAnsi" w:hAnsiTheme="minorHAnsi" w:cstheme="minorHAnsi"/>
          <w:bCs/>
          <w:color w:val="000000" w:themeColor="text1"/>
        </w:rPr>
      </w:pPr>
      <w:r w:rsidRPr="007E3D0B">
        <w:rPr>
          <w:rFonts w:asciiTheme="minorHAnsi" w:hAnsiTheme="minorHAnsi" w:cstheme="minorHAnsi"/>
          <w:bCs/>
          <w:color w:val="000000" w:themeColor="text1"/>
        </w:rPr>
        <w:t>Considerando:</w:t>
      </w:r>
    </w:p>
    <w:p w14:paraId="380699CB" w14:textId="5D07C459" w:rsidR="00FC26D2" w:rsidRPr="007E3D0B" w:rsidRDefault="00FC26D2" w:rsidP="008B69D1">
      <w:pPr>
        <w:pStyle w:val="PargrafodaLista"/>
        <w:numPr>
          <w:ilvl w:val="0"/>
          <w:numId w:val="14"/>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w:t>
      </w:r>
      <w:r w:rsidRPr="00D4250A">
        <w:rPr>
          <w:rFonts w:asciiTheme="minorHAnsi" w:hAnsiTheme="minorHAnsi" w:cstheme="minorHAnsi"/>
          <w:bCs/>
          <w:color w:val="000000" w:themeColor="text1"/>
        </w:rPr>
        <w:t xml:space="preserve">Portaria MPS nº </w:t>
      </w:r>
      <w:r w:rsidR="005441AF" w:rsidRPr="00D4250A">
        <w:rPr>
          <w:rFonts w:asciiTheme="minorHAnsi" w:hAnsiTheme="minorHAnsi" w:cstheme="minorHAnsi"/>
          <w:bCs/>
          <w:color w:val="000000" w:themeColor="text1"/>
        </w:rPr>
        <w:t>2</w:t>
      </w:r>
      <w:r w:rsidRPr="00D4250A">
        <w:rPr>
          <w:rFonts w:asciiTheme="minorHAnsi" w:hAnsiTheme="minorHAnsi" w:cstheme="minorHAnsi"/>
          <w:bCs/>
          <w:color w:val="000000" w:themeColor="text1"/>
        </w:rPr>
        <w:t>.</w:t>
      </w:r>
      <w:r w:rsidR="005441AF" w:rsidRPr="00D4250A">
        <w:rPr>
          <w:rFonts w:asciiTheme="minorHAnsi" w:hAnsiTheme="minorHAnsi" w:cstheme="minorHAnsi"/>
          <w:bCs/>
          <w:color w:val="000000" w:themeColor="text1"/>
        </w:rPr>
        <w:t>010</w:t>
      </w:r>
      <w:r w:rsidRPr="00D4250A">
        <w:rPr>
          <w:rFonts w:asciiTheme="minorHAnsi" w:hAnsiTheme="minorHAnsi" w:cstheme="minorHAnsi"/>
          <w:bCs/>
          <w:color w:val="000000" w:themeColor="text1"/>
        </w:rPr>
        <w:t xml:space="preserve">, de </w:t>
      </w:r>
      <w:r w:rsidR="005441AF" w:rsidRPr="00D4250A">
        <w:rPr>
          <w:rFonts w:asciiTheme="minorHAnsi" w:hAnsiTheme="minorHAnsi" w:cstheme="minorHAnsi"/>
          <w:bCs/>
          <w:color w:val="000000" w:themeColor="text1"/>
        </w:rPr>
        <w:t>15</w:t>
      </w:r>
      <w:r w:rsidRPr="00D4250A">
        <w:rPr>
          <w:rFonts w:asciiTheme="minorHAnsi" w:hAnsiTheme="minorHAnsi" w:cstheme="minorHAnsi"/>
          <w:bCs/>
          <w:color w:val="000000" w:themeColor="text1"/>
        </w:rPr>
        <w:t xml:space="preserve"> de o</w:t>
      </w:r>
      <w:r w:rsidR="005441AF" w:rsidRPr="00D4250A">
        <w:rPr>
          <w:rFonts w:asciiTheme="minorHAnsi" w:hAnsiTheme="minorHAnsi" w:cstheme="minorHAnsi"/>
          <w:bCs/>
          <w:color w:val="000000" w:themeColor="text1"/>
        </w:rPr>
        <w:t>utubro</w:t>
      </w:r>
      <w:r w:rsidRPr="00D4250A">
        <w:rPr>
          <w:rFonts w:asciiTheme="minorHAnsi" w:hAnsiTheme="minorHAnsi" w:cstheme="minorHAnsi"/>
          <w:bCs/>
          <w:color w:val="000000" w:themeColor="text1"/>
        </w:rPr>
        <w:t xml:space="preserve"> de 202</w:t>
      </w:r>
      <w:r w:rsidR="005441AF" w:rsidRPr="00D4250A">
        <w:rPr>
          <w:rFonts w:asciiTheme="minorHAnsi" w:hAnsiTheme="minorHAnsi" w:cstheme="minorHAnsi"/>
          <w:bCs/>
          <w:color w:val="000000" w:themeColor="text1"/>
        </w:rPr>
        <w:t>5</w:t>
      </w:r>
      <w:r w:rsidRPr="00D4250A">
        <w:rPr>
          <w:rFonts w:asciiTheme="minorHAnsi" w:hAnsiTheme="minorHAnsi" w:cstheme="minorHAnsi"/>
          <w:bCs/>
          <w:color w:val="000000" w:themeColor="text1"/>
        </w:rPr>
        <w:t>,</w:t>
      </w:r>
      <w:r w:rsidR="005441AF" w:rsidRPr="00D4250A">
        <w:rPr>
          <w:rFonts w:asciiTheme="minorHAnsi" w:hAnsiTheme="minorHAnsi" w:cstheme="minorHAnsi"/>
          <w:bCs/>
          <w:color w:val="000000" w:themeColor="text1"/>
        </w:rPr>
        <w:t xml:space="preserve"> em seu artigo 2</w:t>
      </w:r>
      <w:r w:rsidR="005441AF" w:rsidRPr="00D4250A">
        <w:rPr>
          <w:rFonts w:asciiTheme="minorHAnsi" w:hAnsiTheme="minorHAnsi" w:cstheme="minorHAnsi"/>
          <w:bCs/>
          <w:color w:val="000000" w:themeColor="text1"/>
          <w:lang w:val="en-US" w:eastAsia="ja-JP"/>
        </w:rPr>
        <w:t>º</w:t>
      </w:r>
      <w:r w:rsidR="005441AF" w:rsidRPr="007E3D0B">
        <w:rPr>
          <w:rFonts w:asciiTheme="minorHAnsi" w:hAnsiTheme="minorHAnsi" w:cstheme="minorHAnsi"/>
          <w:bCs/>
          <w:color w:val="000000" w:themeColor="text1"/>
          <w:lang w:val="en-US" w:eastAsia="ja-JP"/>
        </w:rPr>
        <w:t>,</w:t>
      </w:r>
      <w:r w:rsidRPr="007E3D0B">
        <w:rPr>
          <w:rFonts w:asciiTheme="minorHAnsi" w:hAnsiTheme="minorHAnsi" w:cstheme="minorHAnsi"/>
          <w:bCs/>
          <w:color w:val="000000" w:themeColor="text1"/>
        </w:rPr>
        <w:t xml:space="preserve"> que estabelece a taxa de juros parâmetro cujo ponto da ETTJ mais próximo à duração do passivo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no valor de </w:t>
      </w:r>
      <w:r w:rsidR="006161B8">
        <w:rPr>
          <w:rFonts w:asciiTheme="minorHAnsi" w:hAnsiTheme="minorHAnsi" w:cstheme="minorHAnsi"/>
          <w:bCs/>
          <w:color w:val="000000" w:themeColor="text1"/>
        </w:rPr>
        <w:t>5,46</w:t>
      </w:r>
      <w:r w:rsidRPr="007E3D0B">
        <w:rPr>
          <w:rFonts w:asciiTheme="minorHAnsi" w:hAnsiTheme="minorHAnsi" w:cstheme="minorHAnsi"/>
          <w:bCs/>
          <w:color w:val="000000" w:themeColor="text1"/>
        </w:rPr>
        <w:t>%;</w:t>
      </w:r>
    </w:p>
    <w:p w14:paraId="7046E346" w14:textId="77777777" w:rsidR="00FC26D2" w:rsidRPr="007E3D0B" w:rsidRDefault="00FC26D2" w:rsidP="00FC26D2">
      <w:pPr>
        <w:pStyle w:val="PargrafodaLista"/>
        <w:rPr>
          <w:rFonts w:asciiTheme="minorHAnsi" w:hAnsiTheme="minorHAnsi" w:cstheme="minorHAnsi"/>
          <w:bCs/>
          <w:color w:val="000000" w:themeColor="text1"/>
        </w:rPr>
      </w:pPr>
    </w:p>
    <w:p w14:paraId="6A89EF29" w14:textId="77777777" w:rsidR="00FC26D2" w:rsidRPr="007E3D0B" w:rsidRDefault="00FC26D2" w:rsidP="008B69D1">
      <w:pPr>
        <w:pStyle w:val="PargrafodaLista"/>
        <w:numPr>
          <w:ilvl w:val="0"/>
          <w:numId w:val="14"/>
        </w:numPr>
        <w:rPr>
          <w:rFonts w:asciiTheme="minorHAnsi" w:hAnsiTheme="minorHAnsi" w:cstheme="minorHAnsi"/>
          <w:bCs/>
          <w:color w:val="000000" w:themeColor="text1"/>
        </w:rPr>
      </w:pPr>
      <w:r w:rsidRPr="007E3D0B">
        <w:rPr>
          <w:rFonts w:asciiTheme="minorHAnsi" w:hAnsiTheme="minorHAnsi" w:cstheme="minorHAnsi"/>
          <w:bCs/>
          <w:color w:val="000000" w:themeColor="text1"/>
        </w:rPr>
        <w:t>a verificação do cumprimento da meta de rentabilidade nos últimos cinco exercícios antecedentes à data focal, podendo ser acrescidos 0,15 ponto percentual a cada ano na taxa de juros parâmetro definida, limitada a 0,6 ponto percentual;</w:t>
      </w:r>
    </w:p>
    <w:p w14:paraId="48A8E61D" w14:textId="4A459D2B" w:rsidR="00FC26D2" w:rsidRPr="006161B8" w:rsidRDefault="00FC26D2" w:rsidP="00FC26D2">
      <w:pPr>
        <w:rPr>
          <w:rFonts w:asciiTheme="minorHAnsi" w:hAnsiTheme="minorHAnsi" w:cstheme="minorHAnsi"/>
          <w:b/>
          <w:color w:val="000000" w:themeColor="text1"/>
        </w:rPr>
      </w:pPr>
      <w:r w:rsidRPr="00D4250A">
        <w:rPr>
          <w:rFonts w:asciiTheme="minorHAnsi" w:hAnsiTheme="minorHAnsi" w:cstheme="minorHAnsi"/>
          <w:b/>
          <w:color w:val="000000" w:themeColor="text1"/>
        </w:rPr>
        <w:t xml:space="preserve">Fica definida como Meta de Rentabilidade o valor </w:t>
      </w:r>
      <w:proofErr w:type="gramStart"/>
      <w:r w:rsidRPr="00D4250A">
        <w:rPr>
          <w:rFonts w:asciiTheme="minorHAnsi" w:hAnsiTheme="minorHAnsi" w:cstheme="minorHAnsi"/>
          <w:b/>
          <w:color w:val="000000" w:themeColor="text1"/>
        </w:rPr>
        <w:t xml:space="preserve">de  </w:t>
      </w:r>
      <w:r w:rsidR="006161B8" w:rsidRPr="00D4250A">
        <w:rPr>
          <w:rFonts w:asciiTheme="minorHAnsi" w:hAnsiTheme="minorHAnsi" w:cstheme="minorHAnsi"/>
          <w:b/>
          <w:color w:val="000000" w:themeColor="text1"/>
        </w:rPr>
        <w:t>IPCA</w:t>
      </w:r>
      <w:proofErr w:type="gramEnd"/>
      <w:r w:rsidR="006161B8" w:rsidRPr="00D4250A">
        <w:rPr>
          <w:rFonts w:asciiTheme="minorHAnsi" w:hAnsiTheme="minorHAnsi" w:cstheme="minorHAnsi"/>
          <w:b/>
          <w:color w:val="000000" w:themeColor="text1"/>
        </w:rPr>
        <w:t xml:space="preserve"> + 5,46% ao ano</w:t>
      </w:r>
      <w:r w:rsidRPr="00D4250A">
        <w:rPr>
          <w:rFonts w:asciiTheme="minorHAnsi" w:hAnsiTheme="minorHAnsi" w:cstheme="minorHAnsi"/>
          <w:b/>
          <w:color w:val="000000" w:themeColor="text1"/>
        </w:rPr>
        <w:t>.</w:t>
      </w:r>
    </w:p>
    <w:p w14:paraId="574D87BE" w14:textId="2FBD12B3" w:rsidR="00500AE2" w:rsidRPr="007E3D0B" w:rsidRDefault="00FC26D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Observada a necessidade de busca e manutenção do equilíbrio financeiro e atuarial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em cumprimento à Lei nº 9.717/1998, em seu art. 1º, a meta de rentabilidade poderá ser diferenciada por períodos dentro do próprio exercício, prospectada de acordo com o perfil da carteira de investimentos e com o cenário macroeconômico e financeiro.</w:t>
      </w:r>
    </w:p>
    <w:p w14:paraId="545D6B6C" w14:textId="77777777" w:rsidR="00500AE2" w:rsidRPr="007E3D0B" w:rsidRDefault="00500AE2" w:rsidP="00A468C9">
      <w:pPr>
        <w:pStyle w:val="Ttulo1"/>
        <w:rPr>
          <w:rFonts w:asciiTheme="minorHAnsi" w:hAnsiTheme="minorHAnsi" w:cstheme="minorHAnsi"/>
          <w:color w:val="000000" w:themeColor="text1"/>
          <w:sz w:val="22"/>
          <w:szCs w:val="22"/>
        </w:rPr>
      </w:pPr>
      <w:bookmarkStart w:id="26" w:name="_Toc118105139"/>
      <w:bookmarkStart w:id="27" w:name="_Toc213399432"/>
      <w:bookmarkStart w:id="28" w:name="_Toc435202738"/>
      <w:bookmarkStart w:id="29" w:name="_Toc490036540"/>
      <w:bookmarkStart w:id="30" w:name="_Toc435202750"/>
      <w:bookmarkStart w:id="31" w:name="_Toc490036556"/>
      <w:r w:rsidRPr="007E3D0B">
        <w:rPr>
          <w:rFonts w:asciiTheme="minorHAnsi" w:hAnsiTheme="minorHAnsi" w:cstheme="minorHAnsi"/>
          <w:color w:val="000000" w:themeColor="text1"/>
          <w:sz w:val="22"/>
          <w:szCs w:val="22"/>
        </w:rPr>
        <w:t>ALOCAÇÃO ESTRATÉGICA DOS RECURSOS</w:t>
      </w:r>
      <w:bookmarkEnd w:id="26"/>
      <w:bookmarkEnd w:id="27"/>
    </w:p>
    <w:p w14:paraId="1EEF018D" w14:textId="77777777" w:rsidR="00500AE2" w:rsidRPr="007E3D0B" w:rsidRDefault="00024DC1"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O</w:t>
      </w:r>
      <w:r w:rsidR="00500AE2" w:rsidRPr="007E3D0B">
        <w:rPr>
          <w:rFonts w:asciiTheme="minorHAnsi" w:hAnsiTheme="minorHAnsi" w:cstheme="minorHAnsi"/>
          <w:bCs/>
          <w:color w:val="000000" w:themeColor="text1"/>
        </w:rPr>
        <w:t xml:space="preserve">s responsáveis pela gestão das aplicações dos recursos do </w:t>
      </w:r>
      <w:r w:rsidRPr="007E3D0B">
        <w:rPr>
          <w:rFonts w:asciiTheme="minorHAnsi" w:hAnsiTheme="minorHAnsi" w:cstheme="minorHAnsi"/>
          <w:b/>
          <w:bCs/>
          <w:color w:val="000000" w:themeColor="text1"/>
        </w:rPr>
        <w:t>INSTITUTO DE PREVIDÊNCIA MUNICIPAL DE SANTO ANTÔNIO DE POSSE - IPREM POSSE</w:t>
      </w:r>
      <w:r w:rsidR="00500AE2" w:rsidRPr="007E3D0B">
        <w:rPr>
          <w:rFonts w:asciiTheme="minorHAnsi" w:hAnsiTheme="minorHAnsi" w:cstheme="minorHAnsi"/>
          <w:bCs/>
          <w:color w:val="000000" w:themeColor="text1"/>
        </w:rPr>
        <w:t xml:space="preserve"> devem observar os limites e critérios estabelecidos nesta Política de Investimentos, na Resolução CMN nº 4.963/2021 e qualquer outro ato normativo relacionado ao tema, emitido pelos órgãos </w:t>
      </w:r>
      <w:r w:rsidR="00221548" w:rsidRPr="007E3D0B">
        <w:rPr>
          <w:rFonts w:asciiTheme="minorHAnsi" w:hAnsiTheme="minorHAnsi" w:cstheme="minorHAnsi"/>
          <w:bCs/>
          <w:color w:val="000000" w:themeColor="text1"/>
        </w:rPr>
        <w:t>de fiscalização e orientação</w:t>
      </w:r>
      <w:r w:rsidR="00500AE2" w:rsidRPr="007E3D0B">
        <w:rPr>
          <w:rFonts w:asciiTheme="minorHAnsi" w:hAnsiTheme="minorHAnsi" w:cstheme="minorHAnsi"/>
          <w:bCs/>
          <w:color w:val="000000" w:themeColor="text1"/>
        </w:rPr>
        <w:t>.</w:t>
      </w:r>
    </w:p>
    <w:p w14:paraId="521B469A" w14:textId="77777777" w:rsidR="00500AE2"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estratégia de alocação dos recursos para os próximos cinco anos, leva em consideração não somente o cenário macroeconômico como também as especificidades da estratégia definida pelo resultado da análise do fluxo de caixa atuarial e </w:t>
      </w:r>
      <w:r w:rsidR="00731137" w:rsidRPr="007E3D0B">
        <w:rPr>
          <w:rFonts w:asciiTheme="minorHAnsi" w:hAnsiTheme="minorHAnsi" w:cstheme="minorHAnsi"/>
          <w:bCs/>
          <w:color w:val="000000" w:themeColor="text1"/>
        </w:rPr>
        <w:t>d</w:t>
      </w:r>
      <w:r w:rsidRPr="007E3D0B">
        <w:rPr>
          <w:rFonts w:asciiTheme="minorHAnsi" w:hAnsiTheme="minorHAnsi" w:cstheme="minorHAnsi"/>
          <w:bCs/>
          <w:color w:val="000000" w:themeColor="text1"/>
        </w:rPr>
        <w:t>as projeções futuras de déficit e/ou superávit.</w:t>
      </w:r>
    </w:p>
    <w:p w14:paraId="59810F7A" w14:textId="77777777" w:rsidR="0095394F" w:rsidRDefault="0095394F" w:rsidP="00500AE2">
      <w:pPr>
        <w:rPr>
          <w:rFonts w:asciiTheme="minorHAnsi" w:hAnsiTheme="minorHAnsi" w:cstheme="minorHAnsi"/>
          <w:bCs/>
          <w:color w:val="000000" w:themeColor="text1"/>
        </w:rPr>
      </w:pPr>
    </w:p>
    <w:p w14:paraId="56FAF35B" w14:textId="77777777" w:rsidR="0095394F" w:rsidRPr="007E3D0B" w:rsidRDefault="0095394F" w:rsidP="00500AE2">
      <w:pPr>
        <w:rPr>
          <w:rFonts w:asciiTheme="minorHAnsi" w:hAnsiTheme="minorHAnsi" w:cstheme="minorHAnsi"/>
          <w:bCs/>
          <w:color w:val="000000" w:themeColor="text1"/>
        </w:rPr>
      </w:pPr>
    </w:p>
    <w:p w14:paraId="7B706D9D" w14:textId="77777777" w:rsidR="00BF1ED7" w:rsidRPr="007E3D0B" w:rsidRDefault="00500AE2" w:rsidP="00EC3550">
      <w:pPr>
        <w:spacing w:beforeLines="120" w:before="288" w:after="0"/>
        <w:jc w:val="center"/>
        <w:rPr>
          <w:rFonts w:asciiTheme="minorHAnsi" w:hAnsiTheme="minorHAnsi" w:cstheme="minorHAnsi"/>
          <w:b/>
          <w:bCs/>
          <w:color w:val="000000" w:themeColor="text1"/>
        </w:rPr>
      </w:pPr>
      <w:r w:rsidRPr="007E3D0B">
        <w:rPr>
          <w:rFonts w:asciiTheme="minorHAnsi" w:hAnsiTheme="minorHAnsi" w:cstheme="minorHAnsi"/>
          <w:b/>
          <w:bCs/>
          <w:color w:val="000000" w:themeColor="text1"/>
        </w:rPr>
        <w:lastRenderedPageBreak/>
        <w:t>Alocação Estratégica para o exercício de 202</w:t>
      </w:r>
      <w:r w:rsidR="0049349F" w:rsidRPr="007E3D0B">
        <w:rPr>
          <w:rFonts w:asciiTheme="minorHAnsi" w:hAnsiTheme="minorHAnsi" w:cstheme="minorHAnsi"/>
          <w:b/>
          <w:bCs/>
          <w:color w:val="000000" w:themeColor="text1"/>
        </w:rPr>
        <w:t>6</w:t>
      </w:r>
      <w:r w:rsidR="001C7B44" w:rsidRPr="007E3D0B">
        <w:rPr>
          <w:rFonts w:asciiTheme="minorHAnsi" w:hAnsiTheme="minorHAnsi" w:cstheme="minorHAnsi"/>
          <w:b/>
          <w:bCs/>
          <w:color w:val="000000" w:themeColor="text1"/>
        </w:rPr>
        <w:t xml:space="preserve"> e os próximos 5 anos</w:t>
      </w:r>
    </w:p>
    <w:p w14:paraId="232A20EA" w14:textId="77777777" w:rsidR="00EC3550" w:rsidRPr="007E3D0B" w:rsidRDefault="00EC3550" w:rsidP="00EC3550">
      <w:pPr>
        <w:spacing w:beforeLines="120" w:before="288" w:after="0"/>
        <w:jc w:val="center"/>
        <w:rPr>
          <w:rFonts w:asciiTheme="minorHAnsi" w:hAnsiTheme="minorHAnsi" w:cstheme="minorHAnsi"/>
          <w:color w:val="000000" w:themeColor="text1"/>
          <w:u w:val="single"/>
        </w:rPr>
      </w:pPr>
    </w:p>
    <w:tbl>
      <w:tblPr>
        <w:tblW w:w="5000" w:type="pct"/>
        <w:tblCellMar>
          <w:left w:w="70" w:type="dxa"/>
          <w:right w:w="70" w:type="dxa"/>
        </w:tblCellMar>
        <w:tblLook w:val="04A0" w:firstRow="1" w:lastRow="0" w:firstColumn="1" w:lastColumn="0" w:noHBand="0" w:noVBand="1"/>
      </w:tblPr>
      <w:tblGrid>
        <w:gridCol w:w="1497"/>
        <w:gridCol w:w="2027"/>
        <w:gridCol w:w="793"/>
        <w:gridCol w:w="1037"/>
        <w:gridCol w:w="616"/>
        <w:gridCol w:w="616"/>
        <w:gridCol w:w="721"/>
        <w:gridCol w:w="864"/>
        <w:gridCol w:w="616"/>
        <w:gridCol w:w="831"/>
      </w:tblGrid>
      <w:tr w:rsidR="0095394F" w:rsidRPr="0095394F" w14:paraId="69FCB9D6" w14:textId="77777777" w:rsidTr="0095394F">
        <w:trPr>
          <w:trHeight w:val="408"/>
        </w:trPr>
        <w:tc>
          <w:tcPr>
            <w:tcW w:w="779" w:type="pct"/>
            <w:tcBorders>
              <w:top w:val="single" w:sz="8" w:space="0" w:color="auto"/>
              <w:left w:val="single" w:sz="8" w:space="0" w:color="auto"/>
              <w:bottom w:val="single" w:sz="8" w:space="0" w:color="auto"/>
              <w:right w:val="single" w:sz="8" w:space="0" w:color="auto"/>
            </w:tcBorders>
            <w:vAlign w:val="center"/>
            <w:hideMark/>
          </w:tcPr>
          <w:p w14:paraId="085D27F4" w14:textId="7B3AA61E" w:rsidR="0095394F" w:rsidRPr="0095394F" w:rsidRDefault="00BF1ED7" w:rsidP="0095394F">
            <w:pPr>
              <w:spacing w:before="0" w:after="0"/>
              <w:jc w:val="center"/>
              <w:rPr>
                <w:rFonts w:ascii="Calibri" w:eastAsia="Times New Roman" w:hAnsi="Calibri" w:cs="Calibri"/>
                <w:b/>
                <w:bCs/>
                <w:color w:val="000000"/>
                <w:sz w:val="14"/>
                <w:szCs w:val="14"/>
                <w:lang w:eastAsia="pt-BR"/>
              </w:rPr>
            </w:pPr>
            <w:r w:rsidRPr="007E3D0B">
              <w:rPr>
                <w:rStyle w:val="paragrafo"/>
                <w:rFonts w:asciiTheme="minorHAnsi" w:hAnsiTheme="minorHAnsi" w:cstheme="minorHAnsi"/>
                <w:color w:val="000000" w:themeColor="text1"/>
              </w:rPr>
              <w:t> </w:t>
            </w:r>
            <w:r w:rsidR="0095394F" w:rsidRPr="0095394F">
              <w:rPr>
                <w:rFonts w:ascii="Calibri" w:eastAsia="Times New Roman" w:hAnsi="Calibri" w:cs="Calibri"/>
                <w:b/>
                <w:bCs/>
                <w:color w:val="000000"/>
                <w:sz w:val="14"/>
                <w:szCs w:val="14"/>
                <w:lang w:eastAsia="pt-BR"/>
              </w:rPr>
              <w:t xml:space="preserve">  </w:t>
            </w:r>
          </w:p>
        </w:tc>
        <w:tc>
          <w:tcPr>
            <w:tcW w:w="1054" w:type="pct"/>
            <w:tcBorders>
              <w:top w:val="single" w:sz="8" w:space="0" w:color="auto"/>
              <w:left w:val="nil"/>
              <w:bottom w:val="single" w:sz="8" w:space="0" w:color="auto"/>
              <w:right w:val="single" w:sz="8" w:space="0" w:color="auto"/>
            </w:tcBorders>
            <w:vAlign w:val="center"/>
            <w:hideMark/>
          </w:tcPr>
          <w:p w14:paraId="78D2752F"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412" w:type="pct"/>
            <w:tcBorders>
              <w:top w:val="single" w:sz="8" w:space="0" w:color="auto"/>
              <w:left w:val="nil"/>
              <w:bottom w:val="single" w:sz="8" w:space="0" w:color="auto"/>
              <w:right w:val="single" w:sz="8" w:space="0" w:color="auto"/>
            </w:tcBorders>
            <w:vAlign w:val="center"/>
            <w:hideMark/>
          </w:tcPr>
          <w:p w14:paraId="3CE6791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539" w:type="pct"/>
            <w:tcBorders>
              <w:top w:val="single" w:sz="8" w:space="0" w:color="auto"/>
              <w:left w:val="nil"/>
              <w:bottom w:val="single" w:sz="8" w:space="0" w:color="auto"/>
              <w:right w:val="single" w:sz="8" w:space="0" w:color="auto"/>
            </w:tcBorders>
            <w:shd w:val="clear" w:color="000000" w:fill="D9D9D9"/>
            <w:vAlign w:val="center"/>
            <w:hideMark/>
          </w:tcPr>
          <w:p w14:paraId="70C072A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Carteira </w:t>
            </w:r>
          </w:p>
        </w:tc>
        <w:tc>
          <w:tcPr>
            <w:tcW w:w="320" w:type="pct"/>
            <w:tcBorders>
              <w:top w:val="single" w:sz="8" w:space="0" w:color="auto"/>
              <w:left w:val="nil"/>
              <w:bottom w:val="single" w:sz="8" w:space="0" w:color="auto"/>
              <w:right w:val="single" w:sz="8" w:space="0" w:color="auto"/>
            </w:tcBorders>
            <w:shd w:val="clear" w:color="000000" w:fill="D9D9D9"/>
            <w:vAlign w:val="center"/>
            <w:hideMark/>
          </w:tcPr>
          <w:p w14:paraId="21FB177C"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Carteira</w:t>
            </w:r>
          </w:p>
        </w:tc>
        <w:tc>
          <w:tcPr>
            <w:tcW w:w="1144" w:type="pct"/>
            <w:gridSpan w:val="3"/>
            <w:tcBorders>
              <w:top w:val="single" w:sz="8" w:space="0" w:color="auto"/>
              <w:left w:val="nil"/>
              <w:bottom w:val="single" w:sz="8" w:space="0" w:color="auto"/>
              <w:right w:val="single" w:sz="8" w:space="0" w:color="auto"/>
            </w:tcBorders>
            <w:shd w:val="clear" w:color="000000" w:fill="D9D9D9"/>
            <w:vAlign w:val="center"/>
            <w:hideMark/>
          </w:tcPr>
          <w:p w14:paraId="38C0A71F"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Estratégia de Alocação - Política de Investimento de 2026 </w:t>
            </w:r>
          </w:p>
        </w:tc>
        <w:tc>
          <w:tcPr>
            <w:tcW w:w="753" w:type="pct"/>
            <w:gridSpan w:val="2"/>
            <w:tcBorders>
              <w:top w:val="single" w:sz="8" w:space="0" w:color="auto"/>
              <w:left w:val="nil"/>
              <w:bottom w:val="single" w:sz="8" w:space="0" w:color="auto"/>
              <w:right w:val="single" w:sz="8" w:space="0" w:color="auto"/>
            </w:tcBorders>
            <w:shd w:val="clear" w:color="000000" w:fill="D9D9D9"/>
            <w:vAlign w:val="center"/>
            <w:hideMark/>
          </w:tcPr>
          <w:p w14:paraId="51D8172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Estratégia de Alocação - Próximos 5 anos</w:t>
            </w:r>
          </w:p>
        </w:tc>
      </w:tr>
      <w:tr w:rsidR="0095394F" w:rsidRPr="0095394F" w14:paraId="0D03FE52" w14:textId="77777777" w:rsidTr="0095394F">
        <w:trPr>
          <w:trHeight w:val="399"/>
        </w:trPr>
        <w:tc>
          <w:tcPr>
            <w:tcW w:w="779" w:type="pct"/>
            <w:tcBorders>
              <w:top w:val="nil"/>
              <w:left w:val="single" w:sz="8" w:space="0" w:color="auto"/>
              <w:bottom w:val="single" w:sz="8" w:space="0" w:color="auto"/>
              <w:right w:val="single" w:sz="8" w:space="0" w:color="auto"/>
            </w:tcBorders>
            <w:shd w:val="clear" w:color="000000" w:fill="D9D9D9"/>
            <w:vAlign w:val="center"/>
            <w:hideMark/>
          </w:tcPr>
          <w:p w14:paraId="1F7226F4"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Segmento </w:t>
            </w:r>
          </w:p>
        </w:tc>
        <w:tc>
          <w:tcPr>
            <w:tcW w:w="1054" w:type="pct"/>
            <w:tcBorders>
              <w:top w:val="nil"/>
              <w:left w:val="nil"/>
              <w:bottom w:val="single" w:sz="8" w:space="0" w:color="auto"/>
              <w:right w:val="single" w:sz="8" w:space="0" w:color="auto"/>
            </w:tcBorders>
            <w:shd w:val="clear" w:color="000000" w:fill="D9D9D9"/>
            <w:vAlign w:val="center"/>
            <w:hideMark/>
          </w:tcPr>
          <w:p w14:paraId="794D1ACE"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Tipo de Ativo </w:t>
            </w:r>
          </w:p>
        </w:tc>
        <w:tc>
          <w:tcPr>
            <w:tcW w:w="412" w:type="pct"/>
            <w:tcBorders>
              <w:top w:val="nil"/>
              <w:left w:val="nil"/>
              <w:bottom w:val="single" w:sz="8" w:space="0" w:color="auto"/>
              <w:right w:val="single" w:sz="8" w:space="0" w:color="auto"/>
            </w:tcBorders>
            <w:shd w:val="clear" w:color="000000" w:fill="D9D9D9"/>
            <w:vAlign w:val="center"/>
            <w:hideMark/>
          </w:tcPr>
          <w:p w14:paraId="1E0A4B92"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da Resolução CMN % </w:t>
            </w:r>
          </w:p>
        </w:tc>
        <w:tc>
          <w:tcPr>
            <w:tcW w:w="539" w:type="pct"/>
            <w:tcBorders>
              <w:top w:val="nil"/>
              <w:left w:val="nil"/>
              <w:bottom w:val="nil"/>
              <w:right w:val="single" w:sz="8" w:space="0" w:color="auto"/>
            </w:tcBorders>
            <w:shd w:val="clear" w:color="000000" w:fill="D9D9D9"/>
            <w:vAlign w:val="center"/>
            <w:hideMark/>
          </w:tcPr>
          <w:p w14:paraId="0C01E7E6"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 </w:t>
            </w:r>
          </w:p>
        </w:tc>
        <w:tc>
          <w:tcPr>
            <w:tcW w:w="320" w:type="pct"/>
            <w:tcBorders>
              <w:top w:val="nil"/>
              <w:left w:val="nil"/>
              <w:bottom w:val="nil"/>
              <w:right w:val="single" w:sz="8" w:space="0" w:color="auto"/>
            </w:tcBorders>
            <w:shd w:val="clear" w:color="000000" w:fill="D9D9D9"/>
            <w:vAlign w:val="center"/>
            <w:hideMark/>
          </w:tcPr>
          <w:p w14:paraId="402A1D7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w:t>
            </w:r>
          </w:p>
        </w:tc>
        <w:tc>
          <w:tcPr>
            <w:tcW w:w="320" w:type="pct"/>
            <w:tcBorders>
              <w:top w:val="nil"/>
              <w:left w:val="nil"/>
              <w:bottom w:val="single" w:sz="8" w:space="0" w:color="auto"/>
              <w:right w:val="single" w:sz="8" w:space="0" w:color="auto"/>
            </w:tcBorders>
            <w:shd w:val="clear" w:color="000000" w:fill="D9D9D9"/>
            <w:vAlign w:val="center"/>
            <w:hideMark/>
          </w:tcPr>
          <w:p w14:paraId="2AB895C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Inferior (%) </w:t>
            </w:r>
          </w:p>
        </w:tc>
        <w:tc>
          <w:tcPr>
            <w:tcW w:w="375" w:type="pct"/>
            <w:tcBorders>
              <w:top w:val="nil"/>
              <w:left w:val="nil"/>
              <w:bottom w:val="single" w:sz="8" w:space="0" w:color="auto"/>
              <w:right w:val="single" w:sz="8" w:space="0" w:color="auto"/>
            </w:tcBorders>
            <w:shd w:val="clear" w:color="000000" w:fill="D9D9D9"/>
            <w:vAlign w:val="center"/>
            <w:hideMark/>
          </w:tcPr>
          <w:p w14:paraId="0656B456"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Estratégia Alvo (%) </w:t>
            </w:r>
          </w:p>
        </w:tc>
        <w:tc>
          <w:tcPr>
            <w:tcW w:w="449" w:type="pct"/>
            <w:tcBorders>
              <w:top w:val="nil"/>
              <w:left w:val="nil"/>
              <w:bottom w:val="single" w:sz="8" w:space="0" w:color="auto"/>
              <w:right w:val="single" w:sz="8" w:space="0" w:color="auto"/>
            </w:tcBorders>
            <w:shd w:val="clear" w:color="000000" w:fill="D9D9D9"/>
            <w:vAlign w:val="center"/>
            <w:hideMark/>
          </w:tcPr>
          <w:p w14:paraId="4750EDD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Superior (%) </w:t>
            </w:r>
          </w:p>
        </w:tc>
        <w:tc>
          <w:tcPr>
            <w:tcW w:w="320" w:type="pct"/>
            <w:tcBorders>
              <w:top w:val="nil"/>
              <w:left w:val="nil"/>
              <w:bottom w:val="single" w:sz="8" w:space="0" w:color="auto"/>
              <w:right w:val="single" w:sz="8" w:space="0" w:color="auto"/>
            </w:tcBorders>
            <w:shd w:val="clear" w:color="000000" w:fill="D9D9D9"/>
            <w:vAlign w:val="center"/>
            <w:hideMark/>
          </w:tcPr>
          <w:p w14:paraId="06C0CCC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Inferior (%) </w:t>
            </w:r>
          </w:p>
        </w:tc>
        <w:tc>
          <w:tcPr>
            <w:tcW w:w="433" w:type="pct"/>
            <w:tcBorders>
              <w:top w:val="nil"/>
              <w:left w:val="nil"/>
              <w:bottom w:val="single" w:sz="8" w:space="0" w:color="auto"/>
              <w:right w:val="single" w:sz="8" w:space="0" w:color="auto"/>
            </w:tcBorders>
            <w:shd w:val="clear" w:color="000000" w:fill="D9D9D9"/>
            <w:vAlign w:val="center"/>
            <w:hideMark/>
          </w:tcPr>
          <w:p w14:paraId="2D7C1A26"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Superior (%) </w:t>
            </w:r>
          </w:p>
        </w:tc>
      </w:tr>
      <w:tr w:rsidR="0095394F" w:rsidRPr="0095394F" w14:paraId="7C4552A5" w14:textId="77777777" w:rsidTr="0095394F">
        <w:trPr>
          <w:trHeight w:val="399"/>
        </w:trPr>
        <w:tc>
          <w:tcPr>
            <w:tcW w:w="77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6D405372"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Renda Fixa </w:t>
            </w:r>
          </w:p>
        </w:tc>
        <w:tc>
          <w:tcPr>
            <w:tcW w:w="1054" w:type="pct"/>
            <w:tcBorders>
              <w:top w:val="nil"/>
              <w:left w:val="nil"/>
              <w:bottom w:val="single" w:sz="8" w:space="0" w:color="auto"/>
              <w:right w:val="single" w:sz="8" w:space="0" w:color="auto"/>
            </w:tcBorders>
            <w:vAlign w:val="center"/>
            <w:hideMark/>
          </w:tcPr>
          <w:p w14:paraId="57CE3D71"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 a - Títulos do Tesouro Nacional SELIC</w:t>
            </w:r>
          </w:p>
        </w:tc>
        <w:tc>
          <w:tcPr>
            <w:tcW w:w="412" w:type="pct"/>
            <w:tcBorders>
              <w:top w:val="nil"/>
              <w:left w:val="nil"/>
              <w:bottom w:val="single" w:sz="8" w:space="0" w:color="auto"/>
              <w:right w:val="nil"/>
            </w:tcBorders>
            <w:vAlign w:val="center"/>
            <w:hideMark/>
          </w:tcPr>
          <w:p w14:paraId="1E17E9C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100,00%</w:t>
            </w:r>
          </w:p>
        </w:tc>
        <w:tc>
          <w:tcPr>
            <w:tcW w:w="539" w:type="pct"/>
            <w:tcBorders>
              <w:top w:val="single" w:sz="8" w:space="0" w:color="auto"/>
              <w:left w:val="single" w:sz="8" w:space="0" w:color="auto"/>
              <w:bottom w:val="single" w:sz="8" w:space="0" w:color="auto"/>
              <w:right w:val="single" w:sz="8" w:space="0" w:color="auto"/>
            </w:tcBorders>
            <w:shd w:val="clear" w:color="000000" w:fill="FFFFFF"/>
            <w:hideMark/>
          </w:tcPr>
          <w:p w14:paraId="16711778"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single" w:sz="8" w:space="0" w:color="auto"/>
              <w:left w:val="nil"/>
              <w:bottom w:val="single" w:sz="8" w:space="0" w:color="auto"/>
              <w:right w:val="single" w:sz="8" w:space="0" w:color="auto"/>
            </w:tcBorders>
            <w:shd w:val="clear" w:color="000000" w:fill="FFFFFF"/>
            <w:hideMark/>
          </w:tcPr>
          <w:p w14:paraId="0B9E20B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4C593F2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16D8A9F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449" w:type="pct"/>
            <w:tcBorders>
              <w:top w:val="nil"/>
              <w:left w:val="nil"/>
              <w:bottom w:val="single" w:sz="8" w:space="0" w:color="auto"/>
              <w:right w:val="single" w:sz="8" w:space="0" w:color="auto"/>
            </w:tcBorders>
            <w:vAlign w:val="center"/>
            <w:hideMark/>
          </w:tcPr>
          <w:p w14:paraId="10FE1B3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c>
          <w:tcPr>
            <w:tcW w:w="320" w:type="pct"/>
            <w:tcBorders>
              <w:top w:val="nil"/>
              <w:left w:val="nil"/>
              <w:bottom w:val="single" w:sz="8" w:space="0" w:color="auto"/>
              <w:right w:val="single" w:sz="8" w:space="0" w:color="auto"/>
            </w:tcBorders>
            <w:vAlign w:val="center"/>
            <w:hideMark/>
          </w:tcPr>
          <w:p w14:paraId="7F65D6D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00EF6D6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r>
      <w:tr w:rsidR="0095394F" w:rsidRPr="0095394F" w14:paraId="1C031DF3"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0A808DAA"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00C76C3B"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 b - FI 100% Títulos TN</w:t>
            </w:r>
          </w:p>
        </w:tc>
        <w:tc>
          <w:tcPr>
            <w:tcW w:w="412" w:type="pct"/>
            <w:tcBorders>
              <w:top w:val="nil"/>
              <w:left w:val="nil"/>
              <w:bottom w:val="single" w:sz="8" w:space="0" w:color="auto"/>
              <w:right w:val="nil"/>
            </w:tcBorders>
            <w:vAlign w:val="center"/>
            <w:hideMark/>
          </w:tcPr>
          <w:p w14:paraId="7D8FD31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100,00%</w:t>
            </w:r>
          </w:p>
        </w:tc>
        <w:tc>
          <w:tcPr>
            <w:tcW w:w="539" w:type="pct"/>
            <w:tcBorders>
              <w:top w:val="nil"/>
              <w:left w:val="single" w:sz="8" w:space="0" w:color="auto"/>
              <w:bottom w:val="single" w:sz="8" w:space="0" w:color="auto"/>
              <w:right w:val="single" w:sz="8" w:space="0" w:color="auto"/>
            </w:tcBorders>
            <w:shd w:val="clear" w:color="000000" w:fill="FFFFFF"/>
            <w:hideMark/>
          </w:tcPr>
          <w:p w14:paraId="11A3353E"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54.523.000,57</w:t>
            </w:r>
          </w:p>
        </w:tc>
        <w:tc>
          <w:tcPr>
            <w:tcW w:w="320" w:type="pct"/>
            <w:tcBorders>
              <w:top w:val="nil"/>
              <w:left w:val="nil"/>
              <w:bottom w:val="single" w:sz="8" w:space="0" w:color="auto"/>
              <w:right w:val="single" w:sz="8" w:space="0" w:color="auto"/>
            </w:tcBorders>
            <w:shd w:val="clear" w:color="000000" w:fill="FFFFFF"/>
            <w:hideMark/>
          </w:tcPr>
          <w:p w14:paraId="3D3E369C"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42,71%</w:t>
            </w:r>
          </w:p>
        </w:tc>
        <w:tc>
          <w:tcPr>
            <w:tcW w:w="320" w:type="pct"/>
            <w:tcBorders>
              <w:top w:val="nil"/>
              <w:left w:val="nil"/>
              <w:bottom w:val="single" w:sz="8" w:space="0" w:color="auto"/>
              <w:right w:val="single" w:sz="8" w:space="0" w:color="auto"/>
            </w:tcBorders>
            <w:vAlign w:val="center"/>
            <w:hideMark/>
          </w:tcPr>
          <w:p w14:paraId="16C1C32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25,00%</w:t>
            </w:r>
          </w:p>
        </w:tc>
        <w:tc>
          <w:tcPr>
            <w:tcW w:w="375" w:type="pct"/>
            <w:tcBorders>
              <w:top w:val="nil"/>
              <w:left w:val="nil"/>
              <w:bottom w:val="single" w:sz="8" w:space="0" w:color="auto"/>
              <w:right w:val="single" w:sz="8" w:space="0" w:color="auto"/>
            </w:tcBorders>
            <w:vAlign w:val="center"/>
            <w:hideMark/>
          </w:tcPr>
          <w:p w14:paraId="2268B01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35,00%</w:t>
            </w:r>
          </w:p>
        </w:tc>
        <w:tc>
          <w:tcPr>
            <w:tcW w:w="449" w:type="pct"/>
            <w:tcBorders>
              <w:top w:val="nil"/>
              <w:left w:val="nil"/>
              <w:bottom w:val="single" w:sz="8" w:space="0" w:color="auto"/>
              <w:right w:val="single" w:sz="8" w:space="0" w:color="auto"/>
            </w:tcBorders>
            <w:vAlign w:val="center"/>
            <w:hideMark/>
          </w:tcPr>
          <w:p w14:paraId="25395FE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80,00%</w:t>
            </w:r>
          </w:p>
        </w:tc>
        <w:tc>
          <w:tcPr>
            <w:tcW w:w="320" w:type="pct"/>
            <w:tcBorders>
              <w:top w:val="nil"/>
              <w:left w:val="nil"/>
              <w:bottom w:val="single" w:sz="8" w:space="0" w:color="auto"/>
              <w:right w:val="single" w:sz="8" w:space="0" w:color="auto"/>
            </w:tcBorders>
            <w:vAlign w:val="center"/>
            <w:hideMark/>
          </w:tcPr>
          <w:p w14:paraId="2520845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25,00%</w:t>
            </w:r>
          </w:p>
        </w:tc>
        <w:tc>
          <w:tcPr>
            <w:tcW w:w="433" w:type="pct"/>
            <w:tcBorders>
              <w:top w:val="nil"/>
              <w:left w:val="nil"/>
              <w:bottom w:val="single" w:sz="8" w:space="0" w:color="auto"/>
              <w:right w:val="single" w:sz="8" w:space="0" w:color="auto"/>
            </w:tcBorders>
            <w:vAlign w:val="center"/>
            <w:hideMark/>
          </w:tcPr>
          <w:p w14:paraId="6B83027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80,00%</w:t>
            </w:r>
          </w:p>
        </w:tc>
      </w:tr>
      <w:tr w:rsidR="0095394F" w:rsidRPr="0095394F" w14:paraId="2616DDD9"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3EA0B118"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35B6B9F0"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xml:space="preserve">7º I c - FI </w:t>
            </w:r>
            <w:proofErr w:type="spellStart"/>
            <w:r w:rsidRPr="0095394F">
              <w:rPr>
                <w:rFonts w:ascii="Calibri" w:eastAsia="Times New Roman" w:hAnsi="Calibri" w:cs="Calibri"/>
                <w:color w:val="000000"/>
                <w:sz w:val="14"/>
                <w:szCs w:val="14"/>
                <w:lang w:eastAsia="pt-BR"/>
              </w:rPr>
              <w:t>Ref</w:t>
            </w:r>
            <w:proofErr w:type="spellEnd"/>
            <w:r w:rsidRPr="0095394F">
              <w:rPr>
                <w:rFonts w:ascii="Calibri" w:eastAsia="Times New Roman" w:hAnsi="Calibri" w:cs="Calibri"/>
                <w:color w:val="000000"/>
                <w:sz w:val="14"/>
                <w:szCs w:val="14"/>
                <w:lang w:eastAsia="pt-BR"/>
              </w:rPr>
              <w:t xml:space="preserve"> em Índice de RF, 100% TP</w:t>
            </w:r>
          </w:p>
        </w:tc>
        <w:tc>
          <w:tcPr>
            <w:tcW w:w="412" w:type="pct"/>
            <w:tcBorders>
              <w:top w:val="nil"/>
              <w:left w:val="nil"/>
              <w:bottom w:val="single" w:sz="8" w:space="0" w:color="auto"/>
              <w:right w:val="nil"/>
            </w:tcBorders>
            <w:vAlign w:val="center"/>
            <w:hideMark/>
          </w:tcPr>
          <w:p w14:paraId="3E080C5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55CD815A"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47E8322F"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31DA22C5"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nil"/>
              <w:right w:val="single" w:sz="8" w:space="0" w:color="auto"/>
            </w:tcBorders>
            <w:vAlign w:val="center"/>
            <w:hideMark/>
          </w:tcPr>
          <w:p w14:paraId="1874B66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5086A1A0"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57F35BE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2E19928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5F4D5D7F"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56498607"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5DA79D39"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II - Oper. compromissadas em TP TN</w:t>
            </w:r>
          </w:p>
        </w:tc>
        <w:tc>
          <w:tcPr>
            <w:tcW w:w="412" w:type="pct"/>
            <w:tcBorders>
              <w:top w:val="nil"/>
              <w:left w:val="nil"/>
              <w:bottom w:val="single" w:sz="8" w:space="0" w:color="auto"/>
              <w:right w:val="nil"/>
            </w:tcBorders>
            <w:vAlign w:val="center"/>
            <w:hideMark/>
          </w:tcPr>
          <w:p w14:paraId="0247760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0A8736E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0052A972"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7E3B3D3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41A93F0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14E2F5A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61F633B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3D2C15C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7623C388"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3608ACED"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05DEC722"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III a - FI Referenciados RF</w:t>
            </w:r>
          </w:p>
        </w:tc>
        <w:tc>
          <w:tcPr>
            <w:tcW w:w="412" w:type="pct"/>
            <w:tcBorders>
              <w:top w:val="nil"/>
              <w:left w:val="nil"/>
              <w:bottom w:val="single" w:sz="8" w:space="0" w:color="auto"/>
              <w:right w:val="nil"/>
            </w:tcBorders>
            <w:vAlign w:val="center"/>
            <w:hideMark/>
          </w:tcPr>
          <w:p w14:paraId="4E8A1E5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60,00%</w:t>
            </w:r>
          </w:p>
        </w:tc>
        <w:tc>
          <w:tcPr>
            <w:tcW w:w="539" w:type="pct"/>
            <w:tcBorders>
              <w:top w:val="nil"/>
              <w:left w:val="single" w:sz="8" w:space="0" w:color="auto"/>
              <w:bottom w:val="single" w:sz="8" w:space="0" w:color="auto"/>
              <w:right w:val="single" w:sz="8" w:space="0" w:color="auto"/>
            </w:tcBorders>
            <w:shd w:val="clear" w:color="000000" w:fill="FFFFFF"/>
            <w:hideMark/>
          </w:tcPr>
          <w:p w14:paraId="23BA07C2"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35.722.968,18</w:t>
            </w:r>
          </w:p>
        </w:tc>
        <w:tc>
          <w:tcPr>
            <w:tcW w:w="320" w:type="pct"/>
            <w:tcBorders>
              <w:top w:val="nil"/>
              <w:left w:val="nil"/>
              <w:bottom w:val="single" w:sz="8" w:space="0" w:color="auto"/>
              <w:right w:val="single" w:sz="8" w:space="0" w:color="auto"/>
            </w:tcBorders>
            <w:shd w:val="clear" w:color="000000" w:fill="FFFFFF"/>
            <w:hideMark/>
          </w:tcPr>
          <w:p w14:paraId="32C85A65"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27,98%</w:t>
            </w:r>
          </w:p>
        </w:tc>
        <w:tc>
          <w:tcPr>
            <w:tcW w:w="320" w:type="pct"/>
            <w:tcBorders>
              <w:top w:val="nil"/>
              <w:left w:val="nil"/>
              <w:bottom w:val="single" w:sz="8" w:space="0" w:color="auto"/>
              <w:right w:val="single" w:sz="8" w:space="0" w:color="auto"/>
            </w:tcBorders>
            <w:vAlign w:val="center"/>
            <w:hideMark/>
          </w:tcPr>
          <w:p w14:paraId="4B40A20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375" w:type="pct"/>
            <w:tcBorders>
              <w:top w:val="nil"/>
              <w:left w:val="nil"/>
              <w:bottom w:val="single" w:sz="8" w:space="0" w:color="auto"/>
              <w:right w:val="single" w:sz="8" w:space="0" w:color="auto"/>
            </w:tcBorders>
            <w:vAlign w:val="center"/>
            <w:hideMark/>
          </w:tcPr>
          <w:p w14:paraId="09945EA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24,00%</w:t>
            </w:r>
          </w:p>
        </w:tc>
        <w:tc>
          <w:tcPr>
            <w:tcW w:w="449" w:type="pct"/>
            <w:tcBorders>
              <w:top w:val="nil"/>
              <w:left w:val="nil"/>
              <w:bottom w:val="single" w:sz="8" w:space="0" w:color="auto"/>
              <w:right w:val="single" w:sz="8" w:space="0" w:color="auto"/>
            </w:tcBorders>
            <w:vAlign w:val="center"/>
            <w:hideMark/>
          </w:tcPr>
          <w:p w14:paraId="1C00E9E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60,00%</w:t>
            </w:r>
          </w:p>
        </w:tc>
        <w:tc>
          <w:tcPr>
            <w:tcW w:w="320" w:type="pct"/>
            <w:tcBorders>
              <w:top w:val="nil"/>
              <w:left w:val="nil"/>
              <w:bottom w:val="single" w:sz="8" w:space="0" w:color="auto"/>
              <w:right w:val="single" w:sz="8" w:space="0" w:color="auto"/>
            </w:tcBorders>
            <w:vAlign w:val="center"/>
            <w:hideMark/>
          </w:tcPr>
          <w:p w14:paraId="6A1A926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433" w:type="pct"/>
            <w:tcBorders>
              <w:top w:val="nil"/>
              <w:left w:val="nil"/>
              <w:bottom w:val="single" w:sz="8" w:space="0" w:color="auto"/>
              <w:right w:val="single" w:sz="8" w:space="0" w:color="auto"/>
            </w:tcBorders>
            <w:vAlign w:val="center"/>
            <w:hideMark/>
          </w:tcPr>
          <w:p w14:paraId="186F051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60,00%</w:t>
            </w:r>
          </w:p>
        </w:tc>
      </w:tr>
      <w:tr w:rsidR="0095394F" w:rsidRPr="0095394F" w14:paraId="30F7122A"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551139BB"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10E0A88F"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III b - FI de Índices Referenciado RF</w:t>
            </w:r>
          </w:p>
        </w:tc>
        <w:tc>
          <w:tcPr>
            <w:tcW w:w="412" w:type="pct"/>
            <w:tcBorders>
              <w:top w:val="nil"/>
              <w:left w:val="nil"/>
              <w:bottom w:val="single" w:sz="8" w:space="0" w:color="auto"/>
              <w:right w:val="nil"/>
            </w:tcBorders>
            <w:vAlign w:val="center"/>
            <w:hideMark/>
          </w:tcPr>
          <w:p w14:paraId="15AF1F7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60,00%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7A56BD7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6CAF88F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252787C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789017A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4AE9783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79B6396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5EC46F8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30BD841A"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1180AEBA"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10BBC467"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IV - Renda Fixa de emissão bancária</w:t>
            </w:r>
          </w:p>
        </w:tc>
        <w:tc>
          <w:tcPr>
            <w:tcW w:w="412" w:type="pct"/>
            <w:tcBorders>
              <w:top w:val="nil"/>
              <w:left w:val="nil"/>
              <w:bottom w:val="single" w:sz="8" w:space="0" w:color="auto"/>
              <w:right w:val="nil"/>
            </w:tcBorders>
            <w:vAlign w:val="center"/>
            <w:hideMark/>
          </w:tcPr>
          <w:p w14:paraId="0E6A6B0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20,00%</w:t>
            </w:r>
          </w:p>
        </w:tc>
        <w:tc>
          <w:tcPr>
            <w:tcW w:w="539" w:type="pct"/>
            <w:tcBorders>
              <w:top w:val="nil"/>
              <w:left w:val="single" w:sz="8" w:space="0" w:color="auto"/>
              <w:bottom w:val="single" w:sz="8" w:space="0" w:color="auto"/>
              <w:right w:val="single" w:sz="8" w:space="0" w:color="auto"/>
            </w:tcBorders>
            <w:shd w:val="clear" w:color="000000" w:fill="F5F5F5"/>
            <w:hideMark/>
          </w:tcPr>
          <w:p w14:paraId="23999E14"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15.628.610,55</w:t>
            </w:r>
          </w:p>
        </w:tc>
        <w:tc>
          <w:tcPr>
            <w:tcW w:w="320" w:type="pct"/>
            <w:tcBorders>
              <w:top w:val="nil"/>
              <w:left w:val="nil"/>
              <w:bottom w:val="single" w:sz="8" w:space="0" w:color="auto"/>
              <w:right w:val="single" w:sz="8" w:space="0" w:color="auto"/>
            </w:tcBorders>
            <w:shd w:val="clear" w:color="000000" w:fill="F5F5F5"/>
            <w:hideMark/>
          </w:tcPr>
          <w:p w14:paraId="57521C43"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12,24%</w:t>
            </w:r>
          </w:p>
        </w:tc>
        <w:tc>
          <w:tcPr>
            <w:tcW w:w="320" w:type="pct"/>
            <w:tcBorders>
              <w:top w:val="nil"/>
              <w:left w:val="nil"/>
              <w:bottom w:val="single" w:sz="8" w:space="0" w:color="auto"/>
              <w:right w:val="single" w:sz="8" w:space="0" w:color="auto"/>
            </w:tcBorders>
            <w:vAlign w:val="center"/>
            <w:hideMark/>
          </w:tcPr>
          <w:p w14:paraId="04131C9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6C3DB0EA"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15,00%</w:t>
            </w:r>
          </w:p>
        </w:tc>
        <w:tc>
          <w:tcPr>
            <w:tcW w:w="449" w:type="pct"/>
            <w:tcBorders>
              <w:top w:val="nil"/>
              <w:left w:val="nil"/>
              <w:bottom w:val="single" w:sz="8" w:space="0" w:color="auto"/>
              <w:right w:val="single" w:sz="8" w:space="0" w:color="auto"/>
            </w:tcBorders>
            <w:vAlign w:val="center"/>
            <w:hideMark/>
          </w:tcPr>
          <w:p w14:paraId="15B8E0D8"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20,00%</w:t>
            </w:r>
          </w:p>
        </w:tc>
        <w:tc>
          <w:tcPr>
            <w:tcW w:w="320" w:type="pct"/>
            <w:tcBorders>
              <w:top w:val="nil"/>
              <w:left w:val="nil"/>
              <w:bottom w:val="single" w:sz="8" w:space="0" w:color="auto"/>
              <w:right w:val="single" w:sz="8" w:space="0" w:color="auto"/>
            </w:tcBorders>
            <w:vAlign w:val="center"/>
            <w:hideMark/>
          </w:tcPr>
          <w:p w14:paraId="70967E3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58758D60"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20,00%</w:t>
            </w:r>
          </w:p>
        </w:tc>
      </w:tr>
      <w:tr w:rsidR="0095394F" w:rsidRPr="0095394F" w14:paraId="4505DEAA"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7181A652"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15D67F91"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V a - FI em Direitos Creditórios - sênior</w:t>
            </w:r>
          </w:p>
        </w:tc>
        <w:tc>
          <w:tcPr>
            <w:tcW w:w="412" w:type="pct"/>
            <w:tcBorders>
              <w:top w:val="nil"/>
              <w:left w:val="nil"/>
              <w:bottom w:val="single" w:sz="8" w:space="0" w:color="auto"/>
              <w:right w:val="nil"/>
            </w:tcBorders>
            <w:vAlign w:val="center"/>
            <w:hideMark/>
          </w:tcPr>
          <w:p w14:paraId="60E8A72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hideMark/>
          </w:tcPr>
          <w:p w14:paraId="586270D1"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593.995,78</w:t>
            </w:r>
          </w:p>
        </w:tc>
        <w:tc>
          <w:tcPr>
            <w:tcW w:w="320" w:type="pct"/>
            <w:tcBorders>
              <w:top w:val="nil"/>
              <w:left w:val="nil"/>
              <w:bottom w:val="single" w:sz="8" w:space="0" w:color="auto"/>
              <w:right w:val="single" w:sz="8" w:space="0" w:color="auto"/>
            </w:tcBorders>
            <w:shd w:val="clear" w:color="000000" w:fill="FFFFFF"/>
            <w:hideMark/>
          </w:tcPr>
          <w:p w14:paraId="538EEB59"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0,47%</w:t>
            </w:r>
          </w:p>
        </w:tc>
        <w:tc>
          <w:tcPr>
            <w:tcW w:w="320" w:type="pct"/>
            <w:tcBorders>
              <w:top w:val="nil"/>
              <w:left w:val="nil"/>
              <w:bottom w:val="single" w:sz="8" w:space="0" w:color="auto"/>
              <w:right w:val="single" w:sz="8" w:space="0" w:color="auto"/>
            </w:tcBorders>
            <w:vAlign w:val="center"/>
            <w:hideMark/>
          </w:tcPr>
          <w:p w14:paraId="2CE7A4FA"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4DB0D70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0,50%</w:t>
            </w:r>
          </w:p>
        </w:tc>
        <w:tc>
          <w:tcPr>
            <w:tcW w:w="449" w:type="pct"/>
            <w:tcBorders>
              <w:top w:val="nil"/>
              <w:left w:val="nil"/>
              <w:bottom w:val="single" w:sz="8" w:space="0" w:color="auto"/>
              <w:right w:val="single" w:sz="8" w:space="0" w:color="auto"/>
            </w:tcBorders>
            <w:vAlign w:val="center"/>
            <w:hideMark/>
          </w:tcPr>
          <w:p w14:paraId="1435D09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w:t>
            </w:r>
          </w:p>
        </w:tc>
        <w:tc>
          <w:tcPr>
            <w:tcW w:w="320" w:type="pct"/>
            <w:tcBorders>
              <w:top w:val="nil"/>
              <w:left w:val="nil"/>
              <w:bottom w:val="single" w:sz="8" w:space="0" w:color="auto"/>
              <w:right w:val="single" w:sz="8" w:space="0" w:color="auto"/>
            </w:tcBorders>
            <w:vAlign w:val="center"/>
            <w:hideMark/>
          </w:tcPr>
          <w:p w14:paraId="6F90927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184FB600"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w:t>
            </w:r>
          </w:p>
        </w:tc>
      </w:tr>
      <w:tr w:rsidR="0095394F" w:rsidRPr="0095394F" w14:paraId="25EE6FD3"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0D3BF03C"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4F7BE46B"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V b - FI Renda Fixa "Crédito Privado"</w:t>
            </w:r>
          </w:p>
        </w:tc>
        <w:tc>
          <w:tcPr>
            <w:tcW w:w="412" w:type="pct"/>
            <w:tcBorders>
              <w:top w:val="nil"/>
              <w:left w:val="nil"/>
              <w:bottom w:val="single" w:sz="8" w:space="0" w:color="auto"/>
              <w:right w:val="nil"/>
            </w:tcBorders>
            <w:vAlign w:val="center"/>
            <w:hideMark/>
          </w:tcPr>
          <w:p w14:paraId="5EF6C6A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5F5F5"/>
            <w:hideMark/>
          </w:tcPr>
          <w:p w14:paraId="3C307A3E"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1.274.286,50</w:t>
            </w:r>
          </w:p>
        </w:tc>
        <w:tc>
          <w:tcPr>
            <w:tcW w:w="320" w:type="pct"/>
            <w:tcBorders>
              <w:top w:val="nil"/>
              <w:left w:val="nil"/>
              <w:bottom w:val="single" w:sz="8" w:space="0" w:color="auto"/>
              <w:right w:val="single" w:sz="8" w:space="0" w:color="auto"/>
            </w:tcBorders>
            <w:shd w:val="clear" w:color="000000" w:fill="F5F5F5"/>
            <w:hideMark/>
          </w:tcPr>
          <w:p w14:paraId="2ACE7A7C"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1,00%</w:t>
            </w:r>
          </w:p>
        </w:tc>
        <w:tc>
          <w:tcPr>
            <w:tcW w:w="320" w:type="pct"/>
            <w:tcBorders>
              <w:top w:val="nil"/>
              <w:left w:val="nil"/>
              <w:bottom w:val="single" w:sz="8" w:space="0" w:color="auto"/>
              <w:right w:val="single" w:sz="8" w:space="0" w:color="auto"/>
            </w:tcBorders>
            <w:vAlign w:val="center"/>
            <w:hideMark/>
          </w:tcPr>
          <w:p w14:paraId="4E3DB858"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30D5E4E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w:t>
            </w:r>
          </w:p>
        </w:tc>
        <w:tc>
          <w:tcPr>
            <w:tcW w:w="449" w:type="pct"/>
            <w:tcBorders>
              <w:top w:val="nil"/>
              <w:left w:val="nil"/>
              <w:bottom w:val="single" w:sz="8" w:space="0" w:color="auto"/>
              <w:right w:val="single" w:sz="8" w:space="0" w:color="auto"/>
            </w:tcBorders>
            <w:vAlign w:val="center"/>
            <w:hideMark/>
          </w:tcPr>
          <w:p w14:paraId="18BA6E9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320" w:type="pct"/>
            <w:tcBorders>
              <w:top w:val="nil"/>
              <w:left w:val="nil"/>
              <w:bottom w:val="single" w:sz="8" w:space="0" w:color="auto"/>
              <w:right w:val="single" w:sz="8" w:space="0" w:color="auto"/>
            </w:tcBorders>
            <w:vAlign w:val="center"/>
            <w:hideMark/>
          </w:tcPr>
          <w:p w14:paraId="4330A0E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3B9A34F5"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r>
      <w:tr w:rsidR="0095394F" w:rsidRPr="0095394F" w14:paraId="46833650"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4744BCCE"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330C0BCB"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7º V c - FI de Debêntures Infraestrutura</w:t>
            </w:r>
          </w:p>
        </w:tc>
        <w:tc>
          <w:tcPr>
            <w:tcW w:w="412" w:type="pct"/>
            <w:tcBorders>
              <w:top w:val="nil"/>
              <w:left w:val="nil"/>
              <w:bottom w:val="single" w:sz="8" w:space="0" w:color="auto"/>
              <w:right w:val="nil"/>
            </w:tcBorders>
            <w:vAlign w:val="center"/>
            <w:hideMark/>
          </w:tcPr>
          <w:p w14:paraId="702D463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13EC3D5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68F93E3D"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3CD5A6F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6B74294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62605BD0"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25AF1E4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4A29F405"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02C873B1" w14:textId="77777777" w:rsidTr="0095394F">
        <w:trPr>
          <w:trHeight w:val="399"/>
        </w:trPr>
        <w:tc>
          <w:tcPr>
            <w:tcW w:w="779" w:type="pct"/>
            <w:tcBorders>
              <w:top w:val="nil"/>
              <w:left w:val="single" w:sz="8" w:space="0" w:color="auto"/>
              <w:bottom w:val="single" w:sz="8" w:space="0" w:color="auto"/>
              <w:right w:val="single" w:sz="8" w:space="0" w:color="auto"/>
            </w:tcBorders>
            <w:vAlign w:val="center"/>
            <w:hideMark/>
          </w:tcPr>
          <w:p w14:paraId="32C77461"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1054" w:type="pct"/>
            <w:tcBorders>
              <w:top w:val="nil"/>
              <w:left w:val="nil"/>
              <w:bottom w:val="single" w:sz="8" w:space="0" w:color="auto"/>
              <w:right w:val="single" w:sz="8" w:space="0" w:color="auto"/>
            </w:tcBorders>
            <w:shd w:val="clear" w:color="000000" w:fill="D9D9D9"/>
            <w:vAlign w:val="center"/>
            <w:hideMark/>
          </w:tcPr>
          <w:p w14:paraId="28C8747F"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de Renda Fixa </w:t>
            </w:r>
          </w:p>
        </w:tc>
        <w:tc>
          <w:tcPr>
            <w:tcW w:w="412" w:type="pct"/>
            <w:tcBorders>
              <w:top w:val="nil"/>
              <w:left w:val="nil"/>
              <w:bottom w:val="single" w:sz="8" w:space="0" w:color="auto"/>
              <w:right w:val="nil"/>
            </w:tcBorders>
            <w:shd w:val="clear" w:color="000000" w:fill="D9D9D9"/>
            <w:vAlign w:val="center"/>
            <w:hideMark/>
          </w:tcPr>
          <w:p w14:paraId="2D29FC0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100,00%</w:t>
            </w:r>
          </w:p>
        </w:tc>
        <w:tc>
          <w:tcPr>
            <w:tcW w:w="539" w:type="pct"/>
            <w:tcBorders>
              <w:top w:val="nil"/>
              <w:left w:val="single" w:sz="8" w:space="0" w:color="auto"/>
              <w:bottom w:val="single" w:sz="8" w:space="0" w:color="auto"/>
              <w:right w:val="single" w:sz="8" w:space="0" w:color="auto"/>
            </w:tcBorders>
            <w:shd w:val="clear" w:color="000000" w:fill="D9D9D9"/>
            <w:vAlign w:val="center"/>
            <w:hideMark/>
          </w:tcPr>
          <w:p w14:paraId="3EB5CAB1"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R$ 107.742.861,58 </w:t>
            </w:r>
          </w:p>
        </w:tc>
        <w:tc>
          <w:tcPr>
            <w:tcW w:w="320" w:type="pct"/>
            <w:tcBorders>
              <w:top w:val="nil"/>
              <w:left w:val="nil"/>
              <w:bottom w:val="single" w:sz="8" w:space="0" w:color="auto"/>
              <w:right w:val="single" w:sz="8" w:space="0" w:color="auto"/>
            </w:tcBorders>
            <w:shd w:val="clear" w:color="000000" w:fill="D9D9D9"/>
            <w:vAlign w:val="center"/>
            <w:hideMark/>
          </w:tcPr>
          <w:p w14:paraId="5F2DCCB4"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84,40%</w:t>
            </w:r>
          </w:p>
        </w:tc>
        <w:tc>
          <w:tcPr>
            <w:tcW w:w="320" w:type="pct"/>
            <w:tcBorders>
              <w:top w:val="nil"/>
              <w:left w:val="nil"/>
              <w:bottom w:val="single" w:sz="8" w:space="0" w:color="auto"/>
              <w:right w:val="single" w:sz="8" w:space="0" w:color="auto"/>
            </w:tcBorders>
            <w:shd w:val="clear" w:color="000000" w:fill="D9D9D9"/>
            <w:vAlign w:val="center"/>
            <w:hideMark/>
          </w:tcPr>
          <w:p w14:paraId="7B12FE8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35,00%</w:t>
            </w:r>
          </w:p>
        </w:tc>
        <w:tc>
          <w:tcPr>
            <w:tcW w:w="375" w:type="pct"/>
            <w:tcBorders>
              <w:top w:val="nil"/>
              <w:left w:val="nil"/>
              <w:bottom w:val="single" w:sz="8" w:space="0" w:color="auto"/>
              <w:right w:val="single" w:sz="8" w:space="0" w:color="auto"/>
            </w:tcBorders>
            <w:shd w:val="clear" w:color="000000" w:fill="D9D9D9"/>
            <w:vAlign w:val="center"/>
            <w:hideMark/>
          </w:tcPr>
          <w:p w14:paraId="22BAE1BA"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80,50%</w:t>
            </w:r>
          </w:p>
        </w:tc>
        <w:tc>
          <w:tcPr>
            <w:tcW w:w="449" w:type="pct"/>
            <w:tcBorders>
              <w:top w:val="nil"/>
              <w:left w:val="nil"/>
              <w:bottom w:val="single" w:sz="8" w:space="0" w:color="auto"/>
              <w:right w:val="single" w:sz="8" w:space="0" w:color="auto"/>
            </w:tcBorders>
            <w:shd w:val="clear" w:color="000000" w:fill="D9D9D9"/>
            <w:vAlign w:val="center"/>
            <w:hideMark/>
          </w:tcPr>
          <w:p w14:paraId="7672530A"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196,00%</w:t>
            </w:r>
          </w:p>
        </w:tc>
        <w:tc>
          <w:tcPr>
            <w:tcW w:w="320" w:type="pct"/>
            <w:tcBorders>
              <w:top w:val="nil"/>
              <w:left w:val="nil"/>
              <w:bottom w:val="single" w:sz="8" w:space="0" w:color="auto"/>
              <w:right w:val="single" w:sz="8" w:space="0" w:color="auto"/>
            </w:tcBorders>
            <w:shd w:val="clear" w:color="000000" w:fill="D9D9D9"/>
            <w:vAlign w:val="center"/>
            <w:hideMark/>
          </w:tcPr>
          <w:p w14:paraId="1AE8A8DC"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35,00%</w:t>
            </w:r>
          </w:p>
        </w:tc>
        <w:tc>
          <w:tcPr>
            <w:tcW w:w="433" w:type="pct"/>
            <w:tcBorders>
              <w:top w:val="nil"/>
              <w:left w:val="nil"/>
              <w:bottom w:val="single" w:sz="8" w:space="0" w:color="auto"/>
              <w:right w:val="single" w:sz="8" w:space="0" w:color="auto"/>
            </w:tcBorders>
            <w:shd w:val="clear" w:color="000000" w:fill="D9D9D9"/>
            <w:vAlign w:val="center"/>
            <w:hideMark/>
          </w:tcPr>
          <w:p w14:paraId="6AA2CE12"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196,00%</w:t>
            </w:r>
          </w:p>
        </w:tc>
      </w:tr>
      <w:tr w:rsidR="0095394F" w:rsidRPr="0095394F" w14:paraId="505FF998" w14:textId="77777777" w:rsidTr="0095394F">
        <w:trPr>
          <w:trHeight w:val="399"/>
        </w:trPr>
        <w:tc>
          <w:tcPr>
            <w:tcW w:w="77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F0AF709"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Renda Variável, Estruturados e FII </w:t>
            </w:r>
          </w:p>
        </w:tc>
        <w:tc>
          <w:tcPr>
            <w:tcW w:w="1054" w:type="pct"/>
            <w:tcBorders>
              <w:top w:val="nil"/>
              <w:left w:val="nil"/>
              <w:bottom w:val="single" w:sz="8" w:space="0" w:color="auto"/>
              <w:right w:val="single" w:sz="8" w:space="0" w:color="auto"/>
            </w:tcBorders>
            <w:vAlign w:val="center"/>
            <w:hideMark/>
          </w:tcPr>
          <w:p w14:paraId="42B3F4C8"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8º I - FI de Ações</w:t>
            </w:r>
          </w:p>
        </w:tc>
        <w:tc>
          <w:tcPr>
            <w:tcW w:w="412" w:type="pct"/>
            <w:tcBorders>
              <w:top w:val="nil"/>
              <w:left w:val="nil"/>
              <w:bottom w:val="single" w:sz="8" w:space="0" w:color="auto"/>
              <w:right w:val="nil"/>
            </w:tcBorders>
            <w:vAlign w:val="center"/>
            <w:hideMark/>
          </w:tcPr>
          <w:p w14:paraId="0CC2655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c>
          <w:tcPr>
            <w:tcW w:w="539" w:type="pct"/>
            <w:tcBorders>
              <w:top w:val="nil"/>
              <w:left w:val="single" w:sz="8" w:space="0" w:color="auto"/>
              <w:bottom w:val="single" w:sz="8" w:space="0" w:color="auto"/>
              <w:right w:val="single" w:sz="8" w:space="0" w:color="auto"/>
            </w:tcBorders>
            <w:shd w:val="clear" w:color="000000" w:fill="FFFFFF"/>
            <w:hideMark/>
          </w:tcPr>
          <w:p w14:paraId="18B6756D"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8.567.660,96</w:t>
            </w:r>
          </w:p>
        </w:tc>
        <w:tc>
          <w:tcPr>
            <w:tcW w:w="320" w:type="pct"/>
            <w:tcBorders>
              <w:top w:val="nil"/>
              <w:left w:val="nil"/>
              <w:bottom w:val="single" w:sz="8" w:space="0" w:color="auto"/>
              <w:right w:val="single" w:sz="8" w:space="0" w:color="auto"/>
            </w:tcBorders>
            <w:shd w:val="clear" w:color="000000" w:fill="FFFFFF"/>
            <w:hideMark/>
          </w:tcPr>
          <w:p w14:paraId="2AC3A0A1"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6,71%</w:t>
            </w:r>
          </w:p>
        </w:tc>
        <w:tc>
          <w:tcPr>
            <w:tcW w:w="320" w:type="pct"/>
            <w:tcBorders>
              <w:top w:val="nil"/>
              <w:left w:val="nil"/>
              <w:bottom w:val="single" w:sz="8" w:space="0" w:color="auto"/>
              <w:right w:val="single" w:sz="8" w:space="0" w:color="auto"/>
            </w:tcBorders>
            <w:vAlign w:val="center"/>
            <w:hideMark/>
          </w:tcPr>
          <w:p w14:paraId="2DF605A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52437DE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449" w:type="pct"/>
            <w:tcBorders>
              <w:top w:val="nil"/>
              <w:left w:val="nil"/>
              <w:bottom w:val="single" w:sz="8" w:space="0" w:color="auto"/>
              <w:right w:val="single" w:sz="8" w:space="0" w:color="auto"/>
            </w:tcBorders>
            <w:vAlign w:val="center"/>
            <w:hideMark/>
          </w:tcPr>
          <w:p w14:paraId="0241130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c>
          <w:tcPr>
            <w:tcW w:w="320" w:type="pct"/>
            <w:tcBorders>
              <w:top w:val="nil"/>
              <w:left w:val="nil"/>
              <w:bottom w:val="single" w:sz="8" w:space="0" w:color="auto"/>
              <w:right w:val="single" w:sz="8" w:space="0" w:color="auto"/>
            </w:tcBorders>
            <w:vAlign w:val="center"/>
            <w:hideMark/>
          </w:tcPr>
          <w:p w14:paraId="1582E748"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59EF676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r>
      <w:tr w:rsidR="0095394F" w:rsidRPr="0095394F" w14:paraId="76BAB68F"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0CF7281E"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00CACFF5"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8º II - ETF - Índice de Ações</w:t>
            </w:r>
          </w:p>
        </w:tc>
        <w:tc>
          <w:tcPr>
            <w:tcW w:w="412" w:type="pct"/>
            <w:tcBorders>
              <w:top w:val="nil"/>
              <w:left w:val="nil"/>
              <w:bottom w:val="single" w:sz="8" w:space="0" w:color="auto"/>
              <w:right w:val="nil"/>
            </w:tcBorders>
            <w:vAlign w:val="center"/>
            <w:hideMark/>
          </w:tcPr>
          <w:p w14:paraId="7F98A14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30,00%</w:t>
            </w:r>
          </w:p>
        </w:tc>
        <w:tc>
          <w:tcPr>
            <w:tcW w:w="539" w:type="pct"/>
            <w:tcBorders>
              <w:top w:val="nil"/>
              <w:left w:val="single" w:sz="8" w:space="0" w:color="auto"/>
              <w:bottom w:val="single" w:sz="8" w:space="0" w:color="auto"/>
              <w:right w:val="single" w:sz="8" w:space="0" w:color="auto"/>
            </w:tcBorders>
            <w:shd w:val="clear" w:color="000000" w:fill="FFFFFF"/>
            <w:hideMark/>
          </w:tcPr>
          <w:p w14:paraId="1D70E2C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hideMark/>
          </w:tcPr>
          <w:p w14:paraId="0EB8257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4982ED4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3ED661F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4179F78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7F1A075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2498031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4B9FE3A6"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73FA70CD"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69C65531"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10º I - FI Multimercado</w:t>
            </w:r>
          </w:p>
        </w:tc>
        <w:tc>
          <w:tcPr>
            <w:tcW w:w="412" w:type="pct"/>
            <w:tcBorders>
              <w:top w:val="nil"/>
              <w:left w:val="nil"/>
              <w:bottom w:val="single" w:sz="8" w:space="0" w:color="auto"/>
              <w:right w:val="nil"/>
            </w:tcBorders>
            <w:vAlign w:val="center"/>
            <w:hideMark/>
          </w:tcPr>
          <w:p w14:paraId="78BF283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539" w:type="pct"/>
            <w:tcBorders>
              <w:top w:val="nil"/>
              <w:left w:val="single" w:sz="8" w:space="0" w:color="auto"/>
              <w:bottom w:val="single" w:sz="8" w:space="0" w:color="auto"/>
              <w:right w:val="single" w:sz="8" w:space="0" w:color="auto"/>
            </w:tcBorders>
            <w:shd w:val="clear" w:color="000000" w:fill="F5F5F5"/>
            <w:hideMark/>
          </w:tcPr>
          <w:p w14:paraId="5876CA01"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9.068.618,74</w:t>
            </w:r>
          </w:p>
        </w:tc>
        <w:tc>
          <w:tcPr>
            <w:tcW w:w="320" w:type="pct"/>
            <w:tcBorders>
              <w:top w:val="nil"/>
              <w:left w:val="nil"/>
              <w:bottom w:val="single" w:sz="8" w:space="0" w:color="auto"/>
              <w:right w:val="single" w:sz="8" w:space="0" w:color="auto"/>
            </w:tcBorders>
            <w:shd w:val="clear" w:color="000000" w:fill="F5F5F5"/>
            <w:hideMark/>
          </w:tcPr>
          <w:p w14:paraId="6030644C"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7,10%</w:t>
            </w:r>
          </w:p>
        </w:tc>
        <w:tc>
          <w:tcPr>
            <w:tcW w:w="320" w:type="pct"/>
            <w:tcBorders>
              <w:top w:val="nil"/>
              <w:left w:val="nil"/>
              <w:bottom w:val="single" w:sz="8" w:space="0" w:color="auto"/>
              <w:right w:val="single" w:sz="8" w:space="0" w:color="auto"/>
            </w:tcBorders>
            <w:vAlign w:val="center"/>
            <w:hideMark/>
          </w:tcPr>
          <w:p w14:paraId="3B84B2F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6CD1A0A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7,00%</w:t>
            </w:r>
          </w:p>
        </w:tc>
        <w:tc>
          <w:tcPr>
            <w:tcW w:w="449" w:type="pct"/>
            <w:tcBorders>
              <w:top w:val="nil"/>
              <w:left w:val="nil"/>
              <w:bottom w:val="single" w:sz="8" w:space="0" w:color="auto"/>
              <w:right w:val="single" w:sz="8" w:space="0" w:color="auto"/>
            </w:tcBorders>
            <w:vAlign w:val="center"/>
            <w:hideMark/>
          </w:tcPr>
          <w:p w14:paraId="410C8C4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320" w:type="pct"/>
            <w:tcBorders>
              <w:top w:val="nil"/>
              <w:left w:val="nil"/>
              <w:bottom w:val="single" w:sz="8" w:space="0" w:color="auto"/>
              <w:right w:val="single" w:sz="8" w:space="0" w:color="auto"/>
            </w:tcBorders>
            <w:vAlign w:val="center"/>
            <w:hideMark/>
          </w:tcPr>
          <w:p w14:paraId="196EF57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50CC608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r>
      <w:tr w:rsidR="0095394F" w:rsidRPr="0095394F" w14:paraId="226D9554"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4FED3185"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59918977"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10º II - FI em Participações</w:t>
            </w:r>
          </w:p>
        </w:tc>
        <w:tc>
          <w:tcPr>
            <w:tcW w:w="412" w:type="pct"/>
            <w:tcBorders>
              <w:top w:val="nil"/>
              <w:left w:val="nil"/>
              <w:bottom w:val="single" w:sz="8" w:space="0" w:color="auto"/>
              <w:right w:val="nil"/>
            </w:tcBorders>
            <w:vAlign w:val="center"/>
            <w:hideMark/>
          </w:tcPr>
          <w:p w14:paraId="3F53856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0230AA5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200385C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422EEEC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1D8BBCA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14D0795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1CCC5E1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6743785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2FE07C64"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61066F8F"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4EF2BC0E"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10º III - FI Mercado de Acesso</w:t>
            </w:r>
          </w:p>
        </w:tc>
        <w:tc>
          <w:tcPr>
            <w:tcW w:w="412" w:type="pct"/>
            <w:tcBorders>
              <w:top w:val="nil"/>
              <w:left w:val="nil"/>
              <w:bottom w:val="single" w:sz="8" w:space="0" w:color="auto"/>
              <w:right w:val="nil"/>
            </w:tcBorders>
            <w:vAlign w:val="center"/>
            <w:hideMark/>
          </w:tcPr>
          <w:p w14:paraId="51254FA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1F6CDEEF"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2EB12B9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5DE17B7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2E49A47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5A378A8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1FCB1FD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4E911BB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06A78066"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5210E46A"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6D179969"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11º - FI Imobiliário</w:t>
            </w:r>
          </w:p>
        </w:tc>
        <w:tc>
          <w:tcPr>
            <w:tcW w:w="412" w:type="pct"/>
            <w:tcBorders>
              <w:top w:val="nil"/>
              <w:left w:val="nil"/>
              <w:bottom w:val="single" w:sz="8" w:space="0" w:color="auto"/>
              <w:right w:val="nil"/>
            </w:tcBorders>
            <w:vAlign w:val="center"/>
            <w:hideMark/>
          </w:tcPr>
          <w:p w14:paraId="3D65485B"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5,00%</w:t>
            </w:r>
          </w:p>
        </w:tc>
        <w:tc>
          <w:tcPr>
            <w:tcW w:w="539" w:type="pct"/>
            <w:tcBorders>
              <w:top w:val="nil"/>
              <w:left w:val="single" w:sz="8" w:space="0" w:color="auto"/>
              <w:bottom w:val="single" w:sz="8" w:space="0" w:color="auto"/>
              <w:right w:val="single" w:sz="8" w:space="0" w:color="auto"/>
            </w:tcBorders>
            <w:shd w:val="clear" w:color="000000" w:fill="FFFFFF"/>
            <w:hideMark/>
          </w:tcPr>
          <w:p w14:paraId="7195A498"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1.682.050,38</w:t>
            </w:r>
          </w:p>
        </w:tc>
        <w:tc>
          <w:tcPr>
            <w:tcW w:w="320" w:type="pct"/>
            <w:tcBorders>
              <w:top w:val="nil"/>
              <w:left w:val="nil"/>
              <w:bottom w:val="single" w:sz="8" w:space="0" w:color="auto"/>
              <w:right w:val="single" w:sz="8" w:space="0" w:color="auto"/>
            </w:tcBorders>
            <w:shd w:val="clear" w:color="000000" w:fill="FFFFFF"/>
            <w:hideMark/>
          </w:tcPr>
          <w:p w14:paraId="14D85DBF"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1,32%</w:t>
            </w:r>
          </w:p>
        </w:tc>
        <w:tc>
          <w:tcPr>
            <w:tcW w:w="320" w:type="pct"/>
            <w:tcBorders>
              <w:top w:val="nil"/>
              <w:left w:val="nil"/>
              <w:bottom w:val="single" w:sz="8" w:space="0" w:color="auto"/>
              <w:right w:val="single" w:sz="8" w:space="0" w:color="auto"/>
            </w:tcBorders>
            <w:vAlign w:val="center"/>
            <w:hideMark/>
          </w:tcPr>
          <w:p w14:paraId="4B912C0C"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1B53A30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1,50%</w:t>
            </w:r>
          </w:p>
        </w:tc>
        <w:tc>
          <w:tcPr>
            <w:tcW w:w="449" w:type="pct"/>
            <w:tcBorders>
              <w:top w:val="nil"/>
              <w:left w:val="nil"/>
              <w:bottom w:val="single" w:sz="8" w:space="0" w:color="auto"/>
              <w:right w:val="single" w:sz="8" w:space="0" w:color="auto"/>
            </w:tcBorders>
            <w:vAlign w:val="center"/>
            <w:hideMark/>
          </w:tcPr>
          <w:p w14:paraId="72A1EEC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1,50%</w:t>
            </w:r>
          </w:p>
        </w:tc>
        <w:tc>
          <w:tcPr>
            <w:tcW w:w="320" w:type="pct"/>
            <w:tcBorders>
              <w:top w:val="nil"/>
              <w:left w:val="nil"/>
              <w:bottom w:val="single" w:sz="8" w:space="0" w:color="auto"/>
              <w:right w:val="single" w:sz="8" w:space="0" w:color="auto"/>
            </w:tcBorders>
            <w:vAlign w:val="center"/>
            <w:hideMark/>
          </w:tcPr>
          <w:p w14:paraId="49521AB7"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6DD7B0D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1,50%</w:t>
            </w:r>
          </w:p>
        </w:tc>
      </w:tr>
      <w:tr w:rsidR="0095394F" w:rsidRPr="0095394F" w14:paraId="075A2479" w14:textId="77777777" w:rsidTr="0095394F">
        <w:trPr>
          <w:trHeight w:val="399"/>
        </w:trPr>
        <w:tc>
          <w:tcPr>
            <w:tcW w:w="779" w:type="pct"/>
            <w:tcBorders>
              <w:top w:val="nil"/>
              <w:left w:val="single" w:sz="8" w:space="0" w:color="auto"/>
              <w:bottom w:val="single" w:sz="8" w:space="0" w:color="auto"/>
              <w:right w:val="single" w:sz="8" w:space="0" w:color="auto"/>
            </w:tcBorders>
            <w:vAlign w:val="center"/>
            <w:hideMark/>
          </w:tcPr>
          <w:p w14:paraId="62F5725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1054" w:type="pct"/>
            <w:tcBorders>
              <w:top w:val="nil"/>
              <w:left w:val="nil"/>
              <w:bottom w:val="single" w:sz="8" w:space="0" w:color="auto"/>
              <w:right w:val="single" w:sz="8" w:space="0" w:color="auto"/>
            </w:tcBorders>
            <w:shd w:val="clear" w:color="000000" w:fill="D9D9D9"/>
            <w:vAlign w:val="center"/>
            <w:hideMark/>
          </w:tcPr>
          <w:p w14:paraId="7D3050AA"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de Renda Variável, Estruturado e FII </w:t>
            </w:r>
          </w:p>
        </w:tc>
        <w:tc>
          <w:tcPr>
            <w:tcW w:w="412" w:type="pct"/>
            <w:tcBorders>
              <w:top w:val="nil"/>
              <w:left w:val="nil"/>
              <w:bottom w:val="single" w:sz="8" w:space="0" w:color="auto"/>
              <w:right w:val="nil"/>
            </w:tcBorders>
            <w:shd w:val="clear" w:color="000000" w:fill="D9D9D9"/>
            <w:vAlign w:val="center"/>
            <w:hideMark/>
          </w:tcPr>
          <w:p w14:paraId="41937A86"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30,00%</w:t>
            </w:r>
          </w:p>
        </w:tc>
        <w:tc>
          <w:tcPr>
            <w:tcW w:w="539" w:type="pct"/>
            <w:tcBorders>
              <w:top w:val="nil"/>
              <w:left w:val="single" w:sz="8" w:space="0" w:color="auto"/>
              <w:bottom w:val="single" w:sz="8" w:space="0" w:color="auto"/>
              <w:right w:val="single" w:sz="8" w:space="0" w:color="auto"/>
            </w:tcBorders>
            <w:shd w:val="clear" w:color="000000" w:fill="D9D9D9"/>
            <w:vAlign w:val="center"/>
            <w:hideMark/>
          </w:tcPr>
          <w:p w14:paraId="51D04EC1"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R$   19.318.330,08 </w:t>
            </w:r>
          </w:p>
        </w:tc>
        <w:tc>
          <w:tcPr>
            <w:tcW w:w="320" w:type="pct"/>
            <w:tcBorders>
              <w:top w:val="nil"/>
              <w:left w:val="nil"/>
              <w:bottom w:val="single" w:sz="8" w:space="0" w:color="auto"/>
              <w:right w:val="single" w:sz="8" w:space="0" w:color="auto"/>
            </w:tcBorders>
            <w:shd w:val="clear" w:color="000000" w:fill="D9D9D9"/>
            <w:vAlign w:val="center"/>
            <w:hideMark/>
          </w:tcPr>
          <w:p w14:paraId="3F6A276B"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15,13%</w:t>
            </w:r>
          </w:p>
        </w:tc>
        <w:tc>
          <w:tcPr>
            <w:tcW w:w="320" w:type="pct"/>
            <w:tcBorders>
              <w:top w:val="nil"/>
              <w:left w:val="nil"/>
              <w:bottom w:val="single" w:sz="8" w:space="0" w:color="auto"/>
              <w:right w:val="single" w:sz="8" w:space="0" w:color="auto"/>
            </w:tcBorders>
            <w:shd w:val="clear" w:color="000000" w:fill="D9D9D9"/>
            <w:vAlign w:val="center"/>
            <w:hideMark/>
          </w:tcPr>
          <w:p w14:paraId="6676FD86"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375" w:type="pct"/>
            <w:tcBorders>
              <w:top w:val="nil"/>
              <w:left w:val="nil"/>
              <w:bottom w:val="single" w:sz="8" w:space="0" w:color="auto"/>
              <w:right w:val="single" w:sz="8" w:space="0" w:color="auto"/>
            </w:tcBorders>
            <w:shd w:val="clear" w:color="000000" w:fill="D9D9D9"/>
            <w:vAlign w:val="center"/>
            <w:hideMark/>
          </w:tcPr>
          <w:p w14:paraId="7DE8ECB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18,50%</w:t>
            </w:r>
          </w:p>
        </w:tc>
        <w:tc>
          <w:tcPr>
            <w:tcW w:w="449" w:type="pct"/>
            <w:tcBorders>
              <w:top w:val="nil"/>
              <w:left w:val="nil"/>
              <w:bottom w:val="single" w:sz="8" w:space="0" w:color="auto"/>
              <w:right w:val="single" w:sz="8" w:space="0" w:color="auto"/>
            </w:tcBorders>
            <w:shd w:val="clear" w:color="000000" w:fill="D9D9D9"/>
            <w:vAlign w:val="center"/>
            <w:hideMark/>
          </w:tcPr>
          <w:p w14:paraId="6BCE566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41,50%</w:t>
            </w:r>
          </w:p>
        </w:tc>
        <w:tc>
          <w:tcPr>
            <w:tcW w:w="320" w:type="pct"/>
            <w:tcBorders>
              <w:top w:val="nil"/>
              <w:left w:val="nil"/>
              <w:bottom w:val="single" w:sz="8" w:space="0" w:color="auto"/>
              <w:right w:val="single" w:sz="8" w:space="0" w:color="auto"/>
            </w:tcBorders>
            <w:shd w:val="clear" w:color="000000" w:fill="D9D9D9"/>
            <w:vAlign w:val="center"/>
            <w:hideMark/>
          </w:tcPr>
          <w:p w14:paraId="65D5046E"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433" w:type="pct"/>
            <w:tcBorders>
              <w:top w:val="nil"/>
              <w:left w:val="nil"/>
              <w:bottom w:val="single" w:sz="8" w:space="0" w:color="auto"/>
              <w:right w:val="single" w:sz="8" w:space="0" w:color="auto"/>
            </w:tcBorders>
            <w:shd w:val="clear" w:color="000000" w:fill="D9D9D9"/>
            <w:vAlign w:val="center"/>
            <w:hideMark/>
          </w:tcPr>
          <w:p w14:paraId="3817E28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41,50%</w:t>
            </w:r>
          </w:p>
        </w:tc>
      </w:tr>
      <w:tr w:rsidR="0095394F" w:rsidRPr="0095394F" w14:paraId="56E658EA" w14:textId="77777777" w:rsidTr="0095394F">
        <w:trPr>
          <w:trHeight w:val="399"/>
        </w:trPr>
        <w:tc>
          <w:tcPr>
            <w:tcW w:w="779"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2835D7C0"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Exterior </w:t>
            </w:r>
          </w:p>
        </w:tc>
        <w:tc>
          <w:tcPr>
            <w:tcW w:w="1054" w:type="pct"/>
            <w:tcBorders>
              <w:top w:val="nil"/>
              <w:left w:val="nil"/>
              <w:bottom w:val="single" w:sz="8" w:space="0" w:color="auto"/>
              <w:right w:val="single" w:sz="8" w:space="0" w:color="auto"/>
            </w:tcBorders>
            <w:vAlign w:val="center"/>
            <w:hideMark/>
          </w:tcPr>
          <w:p w14:paraId="34A2B785"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9º I - Renda Fixa - Dívida Externa</w:t>
            </w:r>
          </w:p>
        </w:tc>
        <w:tc>
          <w:tcPr>
            <w:tcW w:w="412" w:type="pct"/>
            <w:tcBorders>
              <w:top w:val="nil"/>
              <w:left w:val="nil"/>
              <w:bottom w:val="single" w:sz="8" w:space="0" w:color="auto"/>
              <w:right w:val="nil"/>
            </w:tcBorders>
            <w:vAlign w:val="center"/>
            <w:hideMark/>
          </w:tcPr>
          <w:p w14:paraId="616729D4"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539" w:type="pct"/>
            <w:tcBorders>
              <w:top w:val="nil"/>
              <w:left w:val="single" w:sz="8" w:space="0" w:color="auto"/>
              <w:bottom w:val="single" w:sz="8" w:space="0" w:color="auto"/>
              <w:right w:val="single" w:sz="8" w:space="0" w:color="auto"/>
            </w:tcBorders>
            <w:shd w:val="clear" w:color="000000" w:fill="FFFFFF"/>
            <w:vAlign w:val="center"/>
            <w:hideMark/>
          </w:tcPr>
          <w:p w14:paraId="4DBC92EA"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vAlign w:val="center"/>
            <w:hideMark/>
          </w:tcPr>
          <w:p w14:paraId="565D003C"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48DEE6D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2A4ADFA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15722AA9"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20" w:type="pct"/>
            <w:tcBorders>
              <w:top w:val="nil"/>
              <w:left w:val="nil"/>
              <w:bottom w:val="single" w:sz="8" w:space="0" w:color="auto"/>
              <w:right w:val="single" w:sz="8" w:space="0" w:color="auto"/>
            </w:tcBorders>
            <w:vAlign w:val="center"/>
            <w:hideMark/>
          </w:tcPr>
          <w:p w14:paraId="57DB62F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166FB7A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r>
      <w:tr w:rsidR="0095394F" w:rsidRPr="0095394F" w14:paraId="707BDB06"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5DEDE684"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0AB14A2C"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9º II - Constituídos no Brasil</w:t>
            </w:r>
          </w:p>
        </w:tc>
        <w:tc>
          <w:tcPr>
            <w:tcW w:w="412" w:type="pct"/>
            <w:tcBorders>
              <w:top w:val="nil"/>
              <w:left w:val="nil"/>
              <w:bottom w:val="single" w:sz="8" w:space="0" w:color="auto"/>
              <w:right w:val="nil"/>
            </w:tcBorders>
            <w:vAlign w:val="center"/>
            <w:hideMark/>
          </w:tcPr>
          <w:p w14:paraId="4E7722E5"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539" w:type="pct"/>
            <w:tcBorders>
              <w:top w:val="nil"/>
              <w:left w:val="single" w:sz="8" w:space="0" w:color="auto"/>
              <w:bottom w:val="single" w:sz="8" w:space="0" w:color="auto"/>
              <w:right w:val="single" w:sz="8" w:space="0" w:color="auto"/>
            </w:tcBorders>
            <w:shd w:val="clear" w:color="000000" w:fill="FFFFFF"/>
            <w:hideMark/>
          </w:tcPr>
          <w:p w14:paraId="4B828BC6"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FFFFFF"/>
            <w:hideMark/>
          </w:tcPr>
          <w:p w14:paraId="6A3909F0"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 </w:t>
            </w:r>
          </w:p>
        </w:tc>
        <w:tc>
          <w:tcPr>
            <w:tcW w:w="320" w:type="pct"/>
            <w:tcBorders>
              <w:top w:val="nil"/>
              <w:left w:val="nil"/>
              <w:bottom w:val="single" w:sz="8" w:space="0" w:color="auto"/>
              <w:right w:val="single" w:sz="8" w:space="0" w:color="auto"/>
            </w:tcBorders>
            <w:vAlign w:val="center"/>
            <w:hideMark/>
          </w:tcPr>
          <w:p w14:paraId="293F225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7614470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49" w:type="pct"/>
            <w:tcBorders>
              <w:top w:val="nil"/>
              <w:left w:val="nil"/>
              <w:bottom w:val="single" w:sz="8" w:space="0" w:color="auto"/>
              <w:right w:val="single" w:sz="8" w:space="0" w:color="auto"/>
            </w:tcBorders>
            <w:vAlign w:val="center"/>
            <w:hideMark/>
          </w:tcPr>
          <w:p w14:paraId="02F4D97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2,00%</w:t>
            </w:r>
          </w:p>
        </w:tc>
        <w:tc>
          <w:tcPr>
            <w:tcW w:w="320" w:type="pct"/>
            <w:tcBorders>
              <w:top w:val="nil"/>
              <w:left w:val="nil"/>
              <w:bottom w:val="single" w:sz="8" w:space="0" w:color="auto"/>
              <w:right w:val="single" w:sz="8" w:space="0" w:color="auto"/>
            </w:tcBorders>
            <w:vAlign w:val="center"/>
            <w:hideMark/>
          </w:tcPr>
          <w:p w14:paraId="06468312"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5A1EF3CD"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2,00%</w:t>
            </w:r>
          </w:p>
        </w:tc>
      </w:tr>
      <w:tr w:rsidR="0095394F" w:rsidRPr="0095394F" w14:paraId="1B16D373" w14:textId="77777777" w:rsidTr="0095394F">
        <w:trPr>
          <w:trHeight w:val="399"/>
        </w:trPr>
        <w:tc>
          <w:tcPr>
            <w:tcW w:w="779" w:type="pct"/>
            <w:vMerge/>
            <w:tcBorders>
              <w:top w:val="nil"/>
              <w:left w:val="single" w:sz="8" w:space="0" w:color="auto"/>
              <w:bottom w:val="single" w:sz="8" w:space="0" w:color="000000"/>
              <w:right w:val="single" w:sz="8" w:space="0" w:color="auto"/>
            </w:tcBorders>
            <w:vAlign w:val="center"/>
            <w:hideMark/>
          </w:tcPr>
          <w:p w14:paraId="5A8E64BF"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p>
        </w:tc>
        <w:tc>
          <w:tcPr>
            <w:tcW w:w="1054" w:type="pct"/>
            <w:tcBorders>
              <w:top w:val="nil"/>
              <w:left w:val="nil"/>
              <w:bottom w:val="single" w:sz="8" w:space="0" w:color="auto"/>
              <w:right w:val="single" w:sz="8" w:space="0" w:color="auto"/>
            </w:tcBorders>
            <w:vAlign w:val="center"/>
            <w:hideMark/>
          </w:tcPr>
          <w:p w14:paraId="23BBDF10"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9º III - Ações - BDR Nível I</w:t>
            </w:r>
          </w:p>
        </w:tc>
        <w:tc>
          <w:tcPr>
            <w:tcW w:w="412" w:type="pct"/>
            <w:tcBorders>
              <w:top w:val="nil"/>
              <w:left w:val="nil"/>
              <w:bottom w:val="single" w:sz="8" w:space="0" w:color="auto"/>
              <w:right w:val="nil"/>
            </w:tcBorders>
            <w:vAlign w:val="center"/>
            <w:hideMark/>
          </w:tcPr>
          <w:p w14:paraId="79691CF6"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539" w:type="pct"/>
            <w:tcBorders>
              <w:top w:val="nil"/>
              <w:left w:val="single" w:sz="8" w:space="0" w:color="auto"/>
              <w:bottom w:val="single" w:sz="8" w:space="0" w:color="auto"/>
              <w:right w:val="single" w:sz="8" w:space="0" w:color="auto"/>
            </w:tcBorders>
            <w:shd w:val="clear" w:color="000000" w:fill="F5F5F5"/>
            <w:hideMark/>
          </w:tcPr>
          <w:p w14:paraId="5088F364"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605.112,84</w:t>
            </w:r>
          </w:p>
        </w:tc>
        <w:tc>
          <w:tcPr>
            <w:tcW w:w="320" w:type="pct"/>
            <w:tcBorders>
              <w:top w:val="nil"/>
              <w:left w:val="nil"/>
              <w:bottom w:val="single" w:sz="8" w:space="0" w:color="auto"/>
              <w:right w:val="single" w:sz="8" w:space="0" w:color="auto"/>
            </w:tcBorders>
            <w:shd w:val="clear" w:color="000000" w:fill="F5F5F5"/>
            <w:hideMark/>
          </w:tcPr>
          <w:p w14:paraId="30EE1E11" w14:textId="77777777" w:rsidR="0095394F" w:rsidRPr="0095394F" w:rsidRDefault="0095394F" w:rsidP="0095394F">
            <w:pPr>
              <w:spacing w:before="0" w:after="0"/>
              <w:jc w:val="right"/>
              <w:rPr>
                <w:rFonts w:ascii="Arial" w:eastAsia="Times New Roman" w:hAnsi="Arial" w:cs="Arial"/>
                <w:color w:val="000000"/>
                <w:sz w:val="14"/>
                <w:szCs w:val="14"/>
                <w:lang w:eastAsia="pt-BR"/>
              </w:rPr>
            </w:pPr>
            <w:r w:rsidRPr="0095394F">
              <w:rPr>
                <w:rFonts w:ascii="Arial" w:eastAsia="Times New Roman" w:hAnsi="Arial" w:cs="Arial"/>
                <w:color w:val="000000"/>
                <w:sz w:val="14"/>
                <w:szCs w:val="14"/>
                <w:lang w:eastAsia="pt-BR"/>
              </w:rPr>
              <w:t>0,47%</w:t>
            </w:r>
          </w:p>
        </w:tc>
        <w:tc>
          <w:tcPr>
            <w:tcW w:w="320" w:type="pct"/>
            <w:tcBorders>
              <w:top w:val="nil"/>
              <w:left w:val="nil"/>
              <w:bottom w:val="single" w:sz="8" w:space="0" w:color="auto"/>
              <w:right w:val="single" w:sz="8" w:space="0" w:color="auto"/>
            </w:tcBorders>
            <w:vAlign w:val="center"/>
            <w:hideMark/>
          </w:tcPr>
          <w:p w14:paraId="3A044ABE"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375" w:type="pct"/>
            <w:tcBorders>
              <w:top w:val="nil"/>
              <w:left w:val="nil"/>
              <w:bottom w:val="single" w:sz="8" w:space="0" w:color="auto"/>
              <w:right w:val="single" w:sz="8" w:space="0" w:color="auto"/>
            </w:tcBorders>
            <w:vAlign w:val="center"/>
            <w:hideMark/>
          </w:tcPr>
          <w:p w14:paraId="51B42953"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w:t>
            </w:r>
          </w:p>
        </w:tc>
        <w:tc>
          <w:tcPr>
            <w:tcW w:w="449" w:type="pct"/>
            <w:tcBorders>
              <w:top w:val="nil"/>
              <w:left w:val="nil"/>
              <w:bottom w:val="single" w:sz="8" w:space="0" w:color="auto"/>
              <w:right w:val="single" w:sz="8" w:space="0" w:color="auto"/>
            </w:tcBorders>
            <w:vAlign w:val="center"/>
            <w:hideMark/>
          </w:tcPr>
          <w:p w14:paraId="07A227E0"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c>
          <w:tcPr>
            <w:tcW w:w="320" w:type="pct"/>
            <w:tcBorders>
              <w:top w:val="nil"/>
              <w:left w:val="nil"/>
              <w:bottom w:val="single" w:sz="8" w:space="0" w:color="auto"/>
              <w:right w:val="single" w:sz="8" w:space="0" w:color="auto"/>
            </w:tcBorders>
            <w:vAlign w:val="center"/>
            <w:hideMark/>
          </w:tcPr>
          <w:p w14:paraId="72E0843A"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0,00%</w:t>
            </w:r>
          </w:p>
        </w:tc>
        <w:tc>
          <w:tcPr>
            <w:tcW w:w="433" w:type="pct"/>
            <w:tcBorders>
              <w:top w:val="nil"/>
              <w:left w:val="nil"/>
              <w:bottom w:val="single" w:sz="8" w:space="0" w:color="auto"/>
              <w:right w:val="single" w:sz="8" w:space="0" w:color="auto"/>
            </w:tcBorders>
            <w:vAlign w:val="center"/>
            <w:hideMark/>
          </w:tcPr>
          <w:p w14:paraId="2A3DACB1"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10,00%</w:t>
            </w:r>
          </w:p>
        </w:tc>
      </w:tr>
      <w:tr w:rsidR="0095394F" w:rsidRPr="0095394F" w14:paraId="7145A1A3" w14:textId="77777777" w:rsidTr="0095394F">
        <w:trPr>
          <w:trHeight w:val="399"/>
        </w:trPr>
        <w:tc>
          <w:tcPr>
            <w:tcW w:w="779" w:type="pct"/>
            <w:tcBorders>
              <w:top w:val="nil"/>
              <w:left w:val="single" w:sz="8" w:space="0" w:color="auto"/>
              <w:bottom w:val="single" w:sz="8" w:space="0" w:color="auto"/>
              <w:right w:val="single" w:sz="8" w:space="0" w:color="auto"/>
            </w:tcBorders>
            <w:shd w:val="clear" w:color="000000" w:fill="D9D9D9"/>
            <w:vAlign w:val="center"/>
            <w:hideMark/>
          </w:tcPr>
          <w:p w14:paraId="55BAB1C0"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1054" w:type="pct"/>
            <w:tcBorders>
              <w:top w:val="nil"/>
              <w:left w:val="nil"/>
              <w:bottom w:val="single" w:sz="8" w:space="0" w:color="auto"/>
              <w:right w:val="single" w:sz="8" w:space="0" w:color="auto"/>
            </w:tcBorders>
            <w:shd w:val="clear" w:color="000000" w:fill="D9D9D9"/>
            <w:vAlign w:val="center"/>
            <w:hideMark/>
          </w:tcPr>
          <w:p w14:paraId="7641FDD2"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Limite de Investimentos no Exterior </w:t>
            </w:r>
          </w:p>
        </w:tc>
        <w:tc>
          <w:tcPr>
            <w:tcW w:w="412" w:type="pct"/>
            <w:tcBorders>
              <w:top w:val="nil"/>
              <w:left w:val="nil"/>
              <w:bottom w:val="single" w:sz="8" w:space="0" w:color="auto"/>
              <w:right w:val="single" w:sz="8" w:space="0" w:color="auto"/>
            </w:tcBorders>
            <w:shd w:val="clear" w:color="000000" w:fill="D9D9D9"/>
            <w:vAlign w:val="center"/>
            <w:hideMark/>
          </w:tcPr>
          <w:p w14:paraId="5CB350C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10,00%</w:t>
            </w:r>
          </w:p>
        </w:tc>
        <w:tc>
          <w:tcPr>
            <w:tcW w:w="539" w:type="pct"/>
            <w:tcBorders>
              <w:top w:val="nil"/>
              <w:left w:val="nil"/>
              <w:bottom w:val="single" w:sz="8" w:space="0" w:color="auto"/>
              <w:right w:val="single" w:sz="8" w:space="0" w:color="auto"/>
            </w:tcBorders>
            <w:shd w:val="clear" w:color="000000" w:fill="D9D9D9"/>
            <w:vAlign w:val="center"/>
            <w:hideMark/>
          </w:tcPr>
          <w:p w14:paraId="662EED4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R$        605.112,84 </w:t>
            </w:r>
          </w:p>
        </w:tc>
        <w:tc>
          <w:tcPr>
            <w:tcW w:w="320" w:type="pct"/>
            <w:tcBorders>
              <w:top w:val="nil"/>
              <w:left w:val="nil"/>
              <w:bottom w:val="single" w:sz="8" w:space="0" w:color="auto"/>
              <w:right w:val="single" w:sz="8" w:space="0" w:color="auto"/>
            </w:tcBorders>
            <w:shd w:val="clear" w:color="000000" w:fill="D9D9D9"/>
            <w:vAlign w:val="center"/>
            <w:hideMark/>
          </w:tcPr>
          <w:p w14:paraId="3151E130"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0,47%</w:t>
            </w:r>
          </w:p>
        </w:tc>
        <w:tc>
          <w:tcPr>
            <w:tcW w:w="320" w:type="pct"/>
            <w:tcBorders>
              <w:top w:val="nil"/>
              <w:left w:val="nil"/>
              <w:bottom w:val="single" w:sz="8" w:space="0" w:color="auto"/>
              <w:right w:val="single" w:sz="8" w:space="0" w:color="auto"/>
            </w:tcBorders>
            <w:shd w:val="clear" w:color="000000" w:fill="D9D9D9"/>
            <w:vAlign w:val="center"/>
            <w:hideMark/>
          </w:tcPr>
          <w:p w14:paraId="2D38B5D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375" w:type="pct"/>
            <w:tcBorders>
              <w:top w:val="nil"/>
              <w:left w:val="nil"/>
              <w:bottom w:val="single" w:sz="8" w:space="0" w:color="auto"/>
              <w:right w:val="single" w:sz="8" w:space="0" w:color="auto"/>
            </w:tcBorders>
            <w:shd w:val="clear" w:color="000000" w:fill="D9D9D9"/>
            <w:vAlign w:val="center"/>
            <w:hideMark/>
          </w:tcPr>
          <w:p w14:paraId="73A4FD4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1,00%</w:t>
            </w:r>
          </w:p>
        </w:tc>
        <w:tc>
          <w:tcPr>
            <w:tcW w:w="449" w:type="pct"/>
            <w:tcBorders>
              <w:top w:val="nil"/>
              <w:left w:val="nil"/>
              <w:bottom w:val="single" w:sz="8" w:space="0" w:color="auto"/>
              <w:right w:val="single" w:sz="8" w:space="0" w:color="auto"/>
            </w:tcBorders>
            <w:shd w:val="clear" w:color="000000" w:fill="D9D9D9"/>
            <w:vAlign w:val="center"/>
            <w:hideMark/>
          </w:tcPr>
          <w:p w14:paraId="1B95768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12,00%</w:t>
            </w:r>
          </w:p>
        </w:tc>
        <w:tc>
          <w:tcPr>
            <w:tcW w:w="320" w:type="pct"/>
            <w:tcBorders>
              <w:top w:val="nil"/>
              <w:left w:val="nil"/>
              <w:bottom w:val="single" w:sz="8" w:space="0" w:color="auto"/>
              <w:right w:val="single" w:sz="8" w:space="0" w:color="auto"/>
            </w:tcBorders>
            <w:shd w:val="clear" w:color="000000" w:fill="D9D9D9"/>
            <w:vAlign w:val="center"/>
            <w:hideMark/>
          </w:tcPr>
          <w:p w14:paraId="4FF08B2E"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433" w:type="pct"/>
            <w:tcBorders>
              <w:top w:val="nil"/>
              <w:left w:val="nil"/>
              <w:bottom w:val="single" w:sz="8" w:space="0" w:color="auto"/>
              <w:right w:val="single" w:sz="8" w:space="0" w:color="auto"/>
            </w:tcBorders>
            <w:shd w:val="clear" w:color="000000" w:fill="D9D9D9"/>
            <w:vAlign w:val="center"/>
            <w:hideMark/>
          </w:tcPr>
          <w:p w14:paraId="5A184CC2"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12,00%</w:t>
            </w:r>
          </w:p>
        </w:tc>
      </w:tr>
      <w:tr w:rsidR="0095394F" w:rsidRPr="0095394F" w14:paraId="701BB123" w14:textId="77777777" w:rsidTr="0095394F">
        <w:trPr>
          <w:trHeight w:val="399"/>
        </w:trPr>
        <w:tc>
          <w:tcPr>
            <w:tcW w:w="779" w:type="pct"/>
            <w:tcBorders>
              <w:top w:val="nil"/>
              <w:left w:val="single" w:sz="8" w:space="0" w:color="auto"/>
              <w:bottom w:val="single" w:sz="8" w:space="0" w:color="auto"/>
              <w:right w:val="single" w:sz="8" w:space="0" w:color="auto"/>
            </w:tcBorders>
            <w:shd w:val="clear" w:color="000000" w:fill="D9D9D9"/>
            <w:vAlign w:val="center"/>
            <w:hideMark/>
          </w:tcPr>
          <w:p w14:paraId="1756F16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Consignado </w:t>
            </w:r>
          </w:p>
        </w:tc>
        <w:tc>
          <w:tcPr>
            <w:tcW w:w="1054" w:type="pct"/>
            <w:tcBorders>
              <w:top w:val="nil"/>
              <w:left w:val="nil"/>
              <w:bottom w:val="single" w:sz="8" w:space="0" w:color="auto"/>
              <w:right w:val="single" w:sz="8" w:space="0" w:color="auto"/>
            </w:tcBorders>
            <w:vAlign w:val="center"/>
            <w:hideMark/>
          </w:tcPr>
          <w:p w14:paraId="7D773083" w14:textId="77777777" w:rsidR="0095394F" w:rsidRPr="0095394F" w:rsidRDefault="0095394F" w:rsidP="0095394F">
            <w:pPr>
              <w:spacing w:before="0" w:after="0"/>
              <w:jc w:val="left"/>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12º - Empréstimo Consignado</w:t>
            </w:r>
          </w:p>
        </w:tc>
        <w:tc>
          <w:tcPr>
            <w:tcW w:w="412" w:type="pct"/>
            <w:tcBorders>
              <w:top w:val="nil"/>
              <w:left w:val="nil"/>
              <w:bottom w:val="single" w:sz="8" w:space="0" w:color="auto"/>
              <w:right w:val="single" w:sz="8" w:space="0" w:color="auto"/>
            </w:tcBorders>
            <w:vAlign w:val="center"/>
            <w:hideMark/>
          </w:tcPr>
          <w:p w14:paraId="608D11B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5,00%</w:t>
            </w:r>
          </w:p>
        </w:tc>
        <w:tc>
          <w:tcPr>
            <w:tcW w:w="539" w:type="pct"/>
            <w:tcBorders>
              <w:top w:val="nil"/>
              <w:left w:val="nil"/>
              <w:bottom w:val="single" w:sz="8" w:space="0" w:color="auto"/>
              <w:right w:val="single" w:sz="8" w:space="0" w:color="auto"/>
            </w:tcBorders>
            <w:shd w:val="clear" w:color="000000" w:fill="D9D9D9"/>
            <w:vAlign w:val="center"/>
            <w:hideMark/>
          </w:tcPr>
          <w:p w14:paraId="1EED8AB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single" w:sz="8" w:space="0" w:color="auto"/>
              <w:right w:val="single" w:sz="8" w:space="0" w:color="auto"/>
            </w:tcBorders>
            <w:shd w:val="clear" w:color="000000" w:fill="D9D9D9"/>
            <w:vAlign w:val="center"/>
            <w:hideMark/>
          </w:tcPr>
          <w:p w14:paraId="19EEBA1D"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w:t>
            </w:r>
          </w:p>
        </w:tc>
        <w:tc>
          <w:tcPr>
            <w:tcW w:w="320" w:type="pct"/>
            <w:tcBorders>
              <w:top w:val="nil"/>
              <w:left w:val="nil"/>
              <w:bottom w:val="nil"/>
              <w:right w:val="single" w:sz="8" w:space="0" w:color="auto"/>
            </w:tcBorders>
            <w:shd w:val="clear" w:color="000000" w:fill="D9D9D9"/>
            <w:vAlign w:val="center"/>
            <w:hideMark/>
          </w:tcPr>
          <w:p w14:paraId="7666B024"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375" w:type="pct"/>
            <w:tcBorders>
              <w:top w:val="nil"/>
              <w:left w:val="nil"/>
              <w:bottom w:val="single" w:sz="8" w:space="0" w:color="auto"/>
              <w:right w:val="single" w:sz="8" w:space="0" w:color="auto"/>
            </w:tcBorders>
            <w:shd w:val="clear" w:color="000000" w:fill="D9D9D9"/>
            <w:vAlign w:val="center"/>
            <w:hideMark/>
          </w:tcPr>
          <w:p w14:paraId="5C804B77"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449" w:type="pct"/>
            <w:tcBorders>
              <w:top w:val="nil"/>
              <w:left w:val="nil"/>
              <w:bottom w:val="single" w:sz="8" w:space="0" w:color="auto"/>
              <w:right w:val="single" w:sz="8" w:space="0" w:color="auto"/>
            </w:tcBorders>
            <w:shd w:val="clear" w:color="000000" w:fill="D9D9D9"/>
            <w:vAlign w:val="center"/>
            <w:hideMark/>
          </w:tcPr>
          <w:p w14:paraId="40DBEDC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5,00%</w:t>
            </w:r>
          </w:p>
        </w:tc>
        <w:tc>
          <w:tcPr>
            <w:tcW w:w="320" w:type="pct"/>
            <w:tcBorders>
              <w:top w:val="nil"/>
              <w:left w:val="nil"/>
              <w:bottom w:val="single" w:sz="8" w:space="0" w:color="auto"/>
              <w:right w:val="single" w:sz="8" w:space="0" w:color="auto"/>
            </w:tcBorders>
            <w:shd w:val="clear" w:color="000000" w:fill="D9D9D9"/>
            <w:vAlign w:val="center"/>
            <w:hideMark/>
          </w:tcPr>
          <w:p w14:paraId="503D7ABA"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0,00%</w:t>
            </w:r>
          </w:p>
        </w:tc>
        <w:tc>
          <w:tcPr>
            <w:tcW w:w="433" w:type="pct"/>
            <w:tcBorders>
              <w:top w:val="nil"/>
              <w:left w:val="nil"/>
              <w:bottom w:val="single" w:sz="8" w:space="0" w:color="auto"/>
              <w:right w:val="single" w:sz="8" w:space="0" w:color="auto"/>
            </w:tcBorders>
            <w:shd w:val="clear" w:color="000000" w:fill="D9D9D9"/>
            <w:vAlign w:val="center"/>
            <w:hideMark/>
          </w:tcPr>
          <w:p w14:paraId="619A1B71"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5,00%</w:t>
            </w:r>
          </w:p>
        </w:tc>
      </w:tr>
      <w:tr w:rsidR="0095394F" w:rsidRPr="0095394F" w14:paraId="76AF5170" w14:textId="77777777" w:rsidTr="0095394F">
        <w:trPr>
          <w:trHeight w:val="399"/>
        </w:trPr>
        <w:tc>
          <w:tcPr>
            <w:tcW w:w="779" w:type="pct"/>
            <w:tcBorders>
              <w:top w:val="nil"/>
              <w:left w:val="single" w:sz="8" w:space="0" w:color="auto"/>
              <w:bottom w:val="single" w:sz="8" w:space="0" w:color="auto"/>
              <w:right w:val="single" w:sz="8" w:space="0" w:color="auto"/>
            </w:tcBorders>
            <w:vAlign w:val="center"/>
            <w:hideMark/>
          </w:tcPr>
          <w:p w14:paraId="71678BEA"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w:t>
            </w:r>
          </w:p>
        </w:tc>
        <w:tc>
          <w:tcPr>
            <w:tcW w:w="1054" w:type="pct"/>
            <w:tcBorders>
              <w:top w:val="nil"/>
              <w:left w:val="nil"/>
              <w:bottom w:val="single" w:sz="8" w:space="0" w:color="auto"/>
              <w:right w:val="single" w:sz="8" w:space="0" w:color="auto"/>
            </w:tcBorders>
            <w:shd w:val="clear" w:color="000000" w:fill="D9D9D9"/>
            <w:vAlign w:val="center"/>
            <w:hideMark/>
          </w:tcPr>
          <w:p w14:paraId="2C6F881F" w14:textId="77777777" w:rsidR="0095394F" w:rsidRPr="0095394F" w:rsidRDefault="0095394F" w:rsidP="0095394F">
            <w:pPr>
              <w:spacing w:before="0" w:after="0"/>
              <w:jc w:val="left"/>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Total da Carteira de Investimentos </w:t>
            </w:r>
          </w:p>
        </w:tc>
        <w:tc>
          <w:tcPr>
            <w:tcW w:w="412" w:type="pct"/>
            <w:tcBorders>
              <w:top w:val="nil"/>
              <w:left w:val="nil"/>
              <w:bottom w:val="single" w:sz="8" w:space="0" w:color="auto"/>
              <w:right w:val="single" w:sz="8" w:space="0" w:color="auto"/>
            </w:tcBorders>
            <w:shd w:val="clear" w:color="000000" w:fill="D9D9D9"/>
            <w:vAlign w:val="center"/>
            <w:hideMark/>
          </w:tcPr>
          <w:p w14:paraId="4DC5C755" w14:textId="77777777" w:rsidR="0095394F" w:rsidRPr="0095394F" w:rsidRDefault="0095394F" w:rsidP="0095394F">
            <w:pPr>
              <w:spacing w:before="0" w:after="0"/>
              <w:jc w:val="center"/>
              <w:rPr>
                <w:rFonts w:ascii="Calibri" w:eastAsia="Times New Roman" w:hAnsi="Calibri" w:cs="Calibri"/>
                <w:color w:val="000000"/>
                <w:sz w:val="14"/>
                <w:szCs w:val="14"/>
                <w:lang w:eastAsia="pt-BR"/>
              </w:rPr>
            </w:pPr>
            <w:r w:rsidRPr="0095394F">
              <w:rPr>
                <w:rFonts w:ascii="Calibri" w:eastAsia="Times New Roman" w:hAnsi="Calibri" w:cs="Calibri"/>
                <w:color w:val="000000"/>
                <w:sz w:val="14"/>
                <w:szCs w:val="14"/>
                <w:lang w:eastAsia="pt-BR"/>
              </w:rPr>
              <w:t> </w:t>
            </w:r>
          </w:p>
        </w:tc>
        <w:tc>
          <w:tcPr>
            <w:tcW w:w="539" w:type="pct"/>
            <w:tcBorders>
              <w:top w:val="nil"/>
              <w:left w:val="nil"/>
              <w:bottom w:val="single" w:sz="8" w:space="0" w:color="auto"/>
              <w:right w:val="single" w:sz="8" w:space="0" w:color="auto"/>
            </w:tcBorders>
            <w:shd w:val="clear" w:color="000000" w:fill="D9D9D9"/>
            <w:vAlign w:val="center"/>
            <w:hideMark/>
          </w:tcPr>
          <w:p w14:paraId="377CD8F4"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 xml:space="preserve"> R$ 127.666.304,50 </w:t>
            </w:r>
          </w:p>
        </w:tc>
        <w:tc>
          <w:tcPr>
            <w:tcW w:w="320" w:type="pct"/>
            <w:tcBorders>
              <w:top w:val="nil"/>
              <w:left w:val="nil"/>
              <w:bottom w:val="single" w:sz="8" w:space="0" w:color="auto"/>
              <w:right w:val="nil"/>
            </w:tcBorders>
            <w:shd w:val="clear" w:color="000000" w:fill="D9D9D9"/>
            <w:vAlign w:val="center"/>
            <w:hideMark/>
          </w:tcPr>
          <w:p w14:paraId="4B9BD0A5"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100%</w:t>
            </w:r>
          </w:p>
        </w:tc>
        <w:tc>
          <w:tcPr>
            <w:tcW w:w="32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A03923"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35,00%</w:t>
            </w:r>
          </w:p>
        </w:tc>
        <w:tc>
          <w:tcPr>
            <w:tcW w:w="375" w:type="pct"/>
            <w:tcBorders>
              <w:top w:val="nil"/>
              <w:left w:val="nil"/>
              <w:bottom w:val="single" w:sz="8" w:space="0" w:color="auto"/>
              <w:right w:val="single" w:sz="8" w:space="0" w:color="auto"/>
            </w:tcBorders>
            <w:shd w:val="clear" w:color="000000" w:fill="D9D9D9"/>
            <w:vAlign w:val="center"/>
            <w:hideMark/>
          </w:tcPr>
          <w:p w14:paraId="24BCBC79"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100,00%</w:t>
            </w:r>
          </w:p>
        </w:tc>
        <w:tc>
          <w:tcPr>
            <w:tcW w:w="449" w:type="pct"/>
            <w:tcBorders>
              <w:top w:val="nil"/>
              <w:left w:val="nil"/>
              <w:bottom w:val="single" w:sz="8" w:space="0" w:color="auto"/>
              <w:right w:val="single" w:sz="8" w:space="0" w:color="auto"/>
            </w:tcBorders>
            <w:shd w:val="clear" w:color="000000" w:fill="D9D9D9"/>
            <w:vAlign w:val="center"/>
            <w:hideMark/>
          </w:tcPr>
          <w:p w14:paraId="77972FBE"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254,50%</w:t>
            </w:r>
          </w:p>
        </w:tc>
        <w:tc>
          <w:tcPr>
            <w:tcW w:w="320" w:type="pct"/>
            <w:tcBorders>
              <w:top w:val="nil"/>
              <w:left w:val="nil"/>
              <w:bottom w:val="single" w:sz="8" w:space="0" w:color="auto"/>
              <w:right w:val="single" w:sz="8" w:space="0" w:color="auto"/>
            </w:tcBorders>
            <w:shd w:val="clear" w:color="000000" w:fill="D9D9D9"/>
            <w:vAlign w:val="center"/>
            <w:hideMark/>
          </w:tcPr>
          <w:p w14:paraId="7E0F784B"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35,00%</w:t>
            </w:r>
          </w:p>
        </w:tc>
        <w:tc>
          <w:tcPr>
            <w:tcW w:w="433" w:type="pct"/>
            <w:tcBorders>
              <w:top w:val="nil"/>
              <w:left w:val="nil"/>
              <w:bottom w:val="single" w:sz="8" w:space="0" w:color="auto"/>
              <w:right w:val="single" w:sz="8" w:space="0" w:color="auto"/>
            </w:tcBorders>
            <w:shd w:val="clear" w:color="000000" w:fill="D9D9D9"/>
            <w:vAlign w:val="center"/>
            <w:hideMark/>
          </w:tcPr>
          <w:p w14:paraId="3286C138" w14:textId="77777777" w:rsidR="0095394F" w:rsidRPr="0095394F" w:rsidRDefault="0095394F" w:rsidP="0095394F">
            <w:pPr>
              <w:spacing w:before="0" w:after="0"/>
              <w:jc w:val="center"/>
              <w:rPr>
                <w:rFonts w:ascii="Calibri" w:eastAsia="Times New Roman" w:hAnsi="Calibri" w:cs="Calibri"/>
                <w:b/>
                <w:bCs/>
                <w:color w:val="000000"/>
                <w:sz w:val="14"/>
                <w:szCs w:val="14"/>
                <w:lang w:eastAsia="pt-BR"/>
              </w:rPr>
            </w:pPr>
            <w:r w:rsidRPr="0095394F">
              <w:rPr>
                <w:rFonts w:ascii="Calibri" w:eastAsia="Times New Roman" w:hAnsi="Calibri" w:cs="Calibri"/>
                <w:b/>
                <w:bCs/>
                <w:color w:val="000000"/>
                <w:sz w:val="14"/>
                <w:szCs w:val="14"/>
                <w:lang w:eastAsia="pt-BR"/>
              </w:rPr>
              <w:t>254,50%</w:t>
            </w:r>
          </w:p>
        </w:tc>
      </w:tr>
    </w:tbl>
    <w:p w14:paraId="2CB5CBB8" w14:textId="523B38FA" w:rsidR="00BF1ED7" w:rsidRPr="007E3D0B" w:rsidRDefault="00BF1ED7" w:rsidP="00BF1ED7">
      <w:pPr>
        <w:pStyle w:val="NormalWeb"/>
        <w:rPr>
          <w:rFonts w:asciiTheme="minorHAnsi" w:hAnsiTheme="minorHAnsi" w:cstheme="minorHAnsi"/>
          <w:color w:val="000000" w:themeColor="text1"/>
          <w:szCs w:val="22"/>
        </w:rPr>
      </w:pPr>
    </w:p>
    <w:p w14:paraId="420A62E4" w14:textId="77777777" w:rsidR="00500AE2" w:rsidRPr="007E3D0B" w:rsidRDefault="003F602B" w:rsidP="00500AE2">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 xml:space="preserve">Na tabela de alocação estratégica aplica-se a regra do Túnel de Movimentação: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deve manter sua alocação dentro dos limites mínimo e máximo definidos para cada segmento, não podendo ultrapassar o teto nem permanecer abaixo do piso estabelecido. A gestão deve priorizar que a carteira de investimentos permaneça próxima ao percentual de referência indicado na coluna central da tabela, que corresponde à alocação estratégica definida para o exercício.</w:t>
      </w:r>
    </w:p>
    <w:p w14:paraId="23809288"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a elaboração e definição dos limites apresentados foram considerados inclusive as análises mercadológicas e as perspectivas, bem como a compatibilidade dos ativos investidos atualmente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com os prazos, montantes e taxas das obrigações atuariais presentes e futuras.</w:t>
      </w:r>
    </w:p>
    <w:p w14:paraId="16822CBF" w14:textId="77777777" w:rsidR="00A40A3D" w:rsidRPr="007E3D0B" w:rsidRDefault="00DC5BF7" w:rsidP="00A40A3D">
      <w:pPr>
        <w:rPr>
          <w:rFonts w:asciiTheme="minorHAnsi" w:hAnsiTheme="minorHAnsi" w:cstheme="minorHAnsi"/>
          <w:bCs/>
          <w:color w:val="000000" w:themeColor="text1"/>
        </w:rPr>
      </w:pPr>
      <w:r w:rsidRPr="007E3D0B">
        <w:rPr>
          <w:rFonts w:asciiTheme="minorHAnsi" w:hAnsiTheme="minorHAnsi" w:cstheme="minorHAnsi"/>
          <w:bCs/>
          <w:color w:val="000000" w:themeColor="text1"/>
        </w:rPr>
        <w:t>Para efeitos de alocação estratégica, segundo a Resolução CMN nº 4.963/2021, art. 3º e 6º, são considerados recursos do</w:t>
      </w:r>
      <w:r w:rsidRPr="007E3D0B">
        <w:rPr>
          <w:rFonts w:asciiTheme="minorHAnsi" w:hAnsiTheme="minorHAnsi" w:cstheme="minorHAnsi"/>
          <w:b/>
          <w:bCs/>
          <w:color w:val="000000" w:themeColor="text1"/>
        </w:rPr>
        <w:t xml:space="preserve"> INSTITUTO DE PREVIDÊNCIA MUNICIPAL DE SANTO ANTÔNIO DE POSSE - IPREM POSSE</w:t>
      </w:r>
      <w:r w:rsidRPr="007E3D0B">
        <w:rPr>
          <w:rFonts w:asciiTheme="minorHAnsi" w:hAnsiTheme="minorHAnsi" w:cstheme="minorHAnsi"/>
          <w:bCs/>
          <w:color w:val="000000" w:themeColor="text1"/>
        </w:rPr>
        <w:t>: (i) as disponibilidades oriundas das receitas correntes e de capital; (</w:t>
      </w:r>
      <w:proofErr w:type="spellStart"/>
      <w:r w:rsidRPr="007E3D0B">
        <w:rPr>
          <w:rFonts w:asciiTheme="minorHAnsi" w:hAnsiTheme="minorHAnsi" w:cstheme="minorHAnsi"/>
          <w:bCs/>
          <w:color w:val="000000" w:themeColor="text1"/>
        </w:rPr>
        <w:t>ii</w:t>
      </w:r>
      <w:proofErr w:type="spellEnd"/>
      <w:r w:rsidRPr="007E3D0B">
        <w:rPr>
          <w:rFonts w:asciiTheme="minorHAnsi" w:hAnsiTheme="minorHAnsi" w:cstheme="minorHAnsi"/>
          <w:bCs/>
          <w:color w:val="000000" w:themeColor="text1"/>
        </w:rPr>
        <w:t xml:space="preserve">) os demais ingressos financeiros auferidos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w:t>
      </w:r>
      <w:proofErr w:type="spellStart"/>
      <w:r w:rsidRPr="007E3D0B">
        <w:rPr>
          <w:rFonts w:asciiTheme="minorHAnsi" w:hAnsiTheme="minorHAnsi" w:cstheme="minorHAnsi"/>
          <w:bCs/>
          <w:color w:val="000000" w:themeColor="text1"/>
        </w:rPr>
        <w:t>iii</w:t>
      </w:r>
      <w:proofErr w:type="spellEnd"/>
      <w:r w:rsidRPr="007E3D0B">
        <w:rPr>
          <w:rFonts w:asciiTheme="minorHAnsi" w:hAnsiTheme="minorHAnsi" w:cstheme="minorHAnsi"/>
          <w:bCs/>
          <w:color w:val="000000" w:themeColor="text1"/>
        </w:rPr>
        <w:t>) as aplicações financeiras e (</w:t>
      </w:r>
      <w:proofErr w:type="spellStart"/>
      <w:r w:rsidRPr="007E3D0B">
        <w:rPr>
          <w:rFonts w:asciiTheme="minorHAnsi" w:hAnsiTheme="minorHAnsi" w:cstheme="minorHAnsi"/>
          <w:bCs/>
          <w:color w:val="000000" w:themeColor="text1"/>
        </w:rPr>
        <w:t>iv</w:t>
      </w:r>
      <w:proofErr w:type="spellEnd"/>
      <w:r w:rsidRPr="007E3D0B">
        <w:rPr>
          <w:rFonts w:asciiTheme="minorHAnsi" w:hAnsiTheme="minorHAnsi" w:cstheme="minorHAnsi"/>
          <w:bCs/>
          <w:color w:val="000000" w:themeColor="text1"/>
        </w:rPr>
        <w:t>) os títulos e valores mobiliários.</w:t>
      </w:r>
    </w:p>
    <w:p w14:paraId="1AFB5DDA" w14:textId="77777777" w:rsidR="00DC5BF7" w:rsidRPr="007E3D0B" w:rsidRDefault="00DC5BF7" w:rsidP="00A40A3D">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Não serão considerados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para efeitos de alocação estratégica os recursos provenientes de: (i) ativos vinculados por lei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w:t>
      </w:r>
      <w:proofErr w:type="spellStart"/>
      <w:r w:rsidRPr="007E3D0B">
        <w:rPr>
          <w:rFonts w:asciiTheme="minorHAnsi" w:hAnsiTheme="minorHAnsi" w:cstheme="minorHAnsi"/>
          <w:bCs/>
          <w:color w:val="000000" w:themeColor="text1"/>
        </w:rPr>
        <w:t>ii</w:t>
      </w:r>
      <w:proofErr w:type="spellEnd"/>
      <w:r w:rsidRPr="007E3D0B">
        <w:rPr>
          <w:rFonts w:asciiTheme="minorHAnsi" w:hAnsiTheme="minorHAnsi" w:cstheme="minorHAnsi"/>
          <w:bCs/>
          <w:color w:val="000000" w:themeColor="text1"/>
        </w:rPr>
        <w:t>) demais bens, direitos e ativos com finalidade previdenciária; (</w:t>
      </w:r>
      <w:proofErr w:type="spellStart"/>
      <w:r w:rsidRPr="007E3D0B">
        <w:rPr>
          <w:rFonts w:asciiTheme="minorHAnsi" w:hAnsiTheme="minorHAnsi" w:cstheme="minorHAnsi"/>
          <w:bCs/>
          <w:color w:val="000000" w:themeColor="text1"/>
        </w:rPr>
        <w:t>iii</w:t>
      </w:r>
      <w:proofErr w:type="spellEnd"/>
      <w:r w:rsidRPr="007E3D0B">
        <w:rPr>
          <w:rFonts w:asciiTheme="minorHAnsi" w:hAnsiTheme="minorHAnsi" w:cstheme="minorHAnsi"/>
          <w:bCs/>
          <w:color w:val="000000" w:themeColor="text1"/>
        </w:rPr>
        <w:t>) as disponibilidades financeiras mantidas em conta corrente e (</w:t>
      </w:r>
      <w:proofErr w:type="spellStart"/>
      <w:r w:rsidRPr="007E3D0B">
        <w:rPr>
          <w:rFonts w:asciiTheme="minorHAnsi" w:hAnsiTheme="minorHAnsi" w:cstheme="minorHAnsi"/>
          <w:bCs/>
          <w:color w:val="000000" w:themeColor="text1"/>
        </w:rPr>
        <w:t>iv</w:t>
      </w:r>
      <w:proofErr w:type="spellEnd"/>
      <w:r w:rsidRPr="007E3D0B">
        <w:rPr>
          <w:rFonts w:asciiTheme="minorHAnsi" w:hAnsiTheme="minorHAnsi" w:cstheme="minorHAnsi"/>
          <w:bCs/>
          <w:color w:val="000000" w:themeColor="text1"/>
        </w:rPr>
        <w:t>) as contas de fundos de investimento imobiliário.</w:t>
      </w:r>
    </w:p>
    <w:p w14:paraId="384C2C18" w14:textId="77777777" w:rsidR="00635488" w:rsidRPr="007E3D0B" w:rsidRDefault="00635488" w:rsidP="00DC5BF7">
      <w:pPr>
        <w:rPr>
          <w:rFonts w:asciiTheme="minorHAnsi" w:hAnsiTheme="minorHAnsi" w:cstheme="minorHAnsi"/>
          <w:bCs/>
          <w:color w:val="000000" w:themeColor="text1"/>
        </w:rPr>
      </w:pPr>
    </w:p>
    <w:p w14:paraId="5D445B86" w14:textId="77777777" w:rsidR="00500AE2" w:rsidRPr="007E3D0B" w:rsidRDefault="00730172" w:rsidP="00A468C9">
      <w:pPr>
        <w:pStyle w:val="Ttulo2"/>
        <w:rPr>
          <w:rFonts w:asciiTheme="minorHAnsi" w:hAnsiTheme="minorHAnsi" w:cstheme="minorHAnsi"/>
          <w:color w:val="000000" w:themeColor="text1"/>
          <w:sz w:val="22"/>
          <w:szCs w:val="22"/>
        </w:rPr>
      </w:pPr>
      <w:bookmarkStart w:id="32" w:name="_Toc435202742"/>
      <w:bookmarkStart w:id="33" w:name="_Toc490036547"/>
      <w:bookmarkStart w:id="34" w:name="_Toc118105140"/>
      <w:r w:rsidRPr="007E3D0B">
        <w:rPr>
          <w:rFonts w:asciiTheme="minorHAnsi" w:hAnsiTheme="minorHAnsi" w:cstheme="minorHAnsi"/>
          <w:color w:val="000000" w:themeColor="text1"/>
          <w:sz w:val="22"/>
          <w:szCs w:val="22"/>
        </w:rPr>
        <w:t>Segmento de Renda Fixa</w:t>
      </w:r>
      <w:bookmarkEnd w:id="32"/>
      <w:bookmarkEnd w:id="33"/>
      <w:bookmarkEnd w:id="34"/>
    </w:p>
    <w:p w14:paraId="22781679" w14:textId="77777777" w:rsidR="00500AE2" w:rsidRPr="007E3D0B" w:rsidRDefault="00500AE2" w:rsidP="00E24C8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Obedecendo os limites permitidos </w:t>
      </w:r>
      <w:r w:rsidR="00832071" w:rsidRPr="007E3D0B">
        <w:rPr>
          <w:rFonts w:asciiTheme="minorHAnsi" w:hAnsiTheme="minorHAnsi" w:cstheme="minorHAnsi"/>
          <w:color w:val="000000" w:themeColor="text1"/>
        </w:rPr>
        <w:t>para o</w:t>
      </w:r>
      <w:r w:rsidRPr="007E3D0B">
        <w:rPr>
          <w:rFonts w:asciiTheme="minorHAnsi" w:hAnsiTheme="minorHAnsi" w:cstheme="minorHAnsi"/>
          <w:color w:val="000000" w:themeColor="text1"/>
        </w:rPr>
        <w:t xml:space="preserve"> segmento de renda fixa pela Resolução CMN n° 4.963/2021,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propõe-se adotar o </w:t>
      </w:r>
      <w:r w:rsidRPr="007E3D0B">
        <w:rPr>
          <w:rFonts w:asciiTheme="minorHAnsi" w:hAnsiTheme="minorHAnsi" w:cstheme="minorHAnsi"/>
          <w:b/>
          <w:color w:val="000000" w:themeColor="text1"/>
        </w:rPr>
        <w:t xml:space="preserve">limite de máximo de </w:t>
      </w:r>
      <w:r w:rsidR="00142A94" w:rsidRPr="007E3D0B">
        <w:rPr>
          <w:rFonts w:asciiTheme="minorHAnsi" w:hAnsiTheme="minorHAnsi" w:cstheme="minorHAnsi"/>
          <w:b/>
          <w:color w:val="000000" w:themeColor="text1"/>
        </w:rPr>
        <w:t>100</w:t>
      </w:r>
      <w:r w:rsidR="00832071" w:rsidRPr="007E3D0B">
        <w:rPr>
          <w:rFonts w:asciiTheme="minorHAnsi" w:hAnsiTheme="minorHAnsi" w:cstheme="minorHAnsi"/>
          <w:b/>
          <w:color w:val="000000" w:themeColor="text1"/>
        </w:rPr>
        <w:t xml:space="preserve">% </w:t>
      </w:r>
      <w:r w:rsidRPr="007E3D0B">
        <w:rPr>
          <w:rFonts w:asciiTheme="minorHAnsi" w:hAnsiTheme="minorHAnsi" w:cstheme="minorHAnsi"/>
          <w:b/>
          <w:color w:val="000000" w:themeColor="text1"/>
        </w:rPr>
        <w:t xml:space="preserve">dos </w:t>
      </w:r>
      <w:r w:rsidR="00832071" w:rsidRPr="007E3D0B">
        <w:rPr>
          <w:rFonts w:asciiTheme="minorHAnsi" w:hAnsiTheme="minorHAnsi" w:cstheme="minorHAnsi"/>
          <w:b/>
          <w:color w:val="000000" w:themeColor="text1"/>
        </w:rPr>
        <w:t xml:space="preserve">recursos </w:t>
      </w:r>
      <w:r w:rsidR="0089470C" w:rsidRPr="007E3D0B">
        <w:rPr>
          <w:rFonts w:asciiTheme="minorHAnsi" w:hAnsiTheme="minorHAnsi" w:cstheme="minorHAnsi"/>
          <w:b/>
          <w:color w:val="000000" w:themeColor="text1"/>
        </w:rPr>
        <w:t xml:space="preserve">disponíveis para </w:t>
      </w:r>
      <w:r w:rsidRPr="007E3D0B">
        <w:rPr>
          <w:rFonts w:asciiTheme="minorHAnsi" w:hAnsiTheme="minorHAnsi" w:cstheme="minorHAnsi"/>
          <w:b/>
          <w:color w:val="000000" w:themeColor="text1"/>
        </w:rPr>
        <w:t>investimentos.</w:t>
      </w:r>
    </w:p>
    <w:p w14:paraId="7402DDEB" w14:textId="77777777" w:rsidR="00B05DAD" w:rsidRPr="007E3D0B" w:rsidRDefault="00500AE2" w:rsidP="00B05DAD">
      <w:pPr>
        <w:rPr>
          <w:rFonts w:asciiTheme="minorHAnsi" w:hAnsiTheme="minorHAnsi" w:cstheme="minorHAnsi"/>
          <w:bCs/>
          <w:color w:val="000000" w:themeColor="text1"/>
        </w:rPr>
      </w:pPr>
      <w:r w:rsidRPr="007E3D0B">
        <w:rPr>
          <w:rFonts w:asciiTheme="minorHAnsi" w:hAnsiTheme="minorHAnsi" w:cstheme="minorHAnsi"/>
          <w:bCs/>
          <w:color w:val="000000" w:themeColor="text1"/>
        </w:rPr>
        <w:t>A negociação de títulos públicos no mercado secundário (compra</w:t>
      </w:r>
      <w:r w:rsidR="00E21EAA" w:rsidRPr="007E3D0B">
        <w:rPr>
          <w:rFonts w:asciiTheme="minorHAnsi" w:hAnsiTheme="minorHAnsi" w:cstheme="minorHAnsi"/>
          <w:bCs/>
          <w:color w:val="000000" w:themeColor="text1"/>
        </w:rPr>
        <w:t xml:space="preserve"> e </w:t>
      </w:r>
      <w:r w:rsidRPr="007E3D0B">
        <w:rPr>
          <w:rFonts w:asciiTheme="minorHAnsi" w:hAnsiTheme="minorHAnsi" w:cstheme="minorHAnsi"/>
          <w:bCs/>
          <w:color w:val="000000" w:themeColor="text1"/>
        </w:rPr>
        <w:t>venda</w:t>
      </w:r>
      <w:r w:rsidR="005B242E" w:rsidRPr="007E3D0B">
        <w:rPr>
          <w:rFonts w:asciiTheme="minorHAnsi" w:hAnsiTheme="minorHAnsi" w:cstheme="minorHAnsi"/>
          <w:bCs/>
          <w:color w:val="000000" w:themeColor="text1"/>
        </w:rPr>
        <w:t>)</w:t>
      </w:r>
      <w:r w:rsidRPr="007E3D0B">
        <w:rPr>
          <w:rFonts w:asciiTheme="minorHAnsi" w:hAnsiTheme="minorHAnsi" w:cstheme="minorHAnsi"/>
          <w:bCs/>
          <w:color w:val="000000" w:themeColor="text1"/>
        </w:rPr>
        <w:t xml:space="preserve"> obedecerá ao disposto no Art. 7º, inciso I, alínea “a” da Resolução CMN n° 4.963/2021, </w:t>
      </w:r>
      <w:r w:rsidR="005B242E" w:rsidRPr="007E3D0B">
        <w:rPr>
          <w:rFonts w:asciiTheme="minorHAnsi" w:hAnsiTheme="minorHAnsi" w:cstheme="minorHAnsi"/>
          <w:bCs/>
          <w:color w:val="000000" w:themeColor="text1"/>
        </w:rPr>
        <w:t>devendo estar devidamente registrados no Sistema Especial de Liquidação e de Custódia (SELIC).</w:t>
      </w:r>
    </w:p>
    <w:p w14:paraId="2D0888E4" w14:textId="77777777" w:rsidR="009D2E1B" w:rsidRPr="007E3D0B" w:rsidRDefault="00B05DAD" w:rsidP="009D2E1B">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Na hipótese de aquisição direta de títulos públicos,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deverá comprovar:</w:t>
      </w:r>
    </w:p>
    <w:p w14:paraId="3B786ADF" w14:textId="77777777" w:rsidR="001530E2" w:rsidRPr="007E3D0B" w:rsidRDefault="009D2E1B" w:rsidP="008B69D1">
      <w:pPr>
        <w:pStyle w:val="PargrafodaLista"/>
        <w:numPr>
          <w:ilvl w:val="0"/>
          <w:numId w:val="15"/>
        </w:numPr>
        <w:rPr>
          <w:rFonts w:asciiTheme="minorHAnsi" w:hAnsiTheme="minorHAnsi" w:cstheme="minorHAnsi"/>
          <w:bCs/>
          <w:color w:val="000000" w:themeColor="text1"/>
        </w:rPr>
      </w:pPr>
      <w:r w:rsidRPr="007E3D0B">
        <w:rPr>
          <w:rFonts w:asciiTheme="minorHAnsi" w:hAnsiTheme="minorHAnsi" w:cstheme="minorHAnsi"/>
          <w:bCs/>
          <w:color w:val="000000" w:themeColor="text1"/>
        </w:rPr>
        <w:t>a consulta prévia às informações divulgadas por entidades representativas do mercado financeiro e de capitais, reconhecidas pela transparência e padrão técnico, considerando preços e taxas de referência, bem como o volume e condições das operações registradas no SELIC antes do fechamento da operação;</w:t>
      </w:r>
    </w:p>
    <w:p w14:paraId="15A8B0E6" w14:textId="77777777" w:rsidR="001530E2" w:rsidRPr="007E3D0B" w:rsidRDefault="001530E2" w:rsidP="001530E2">
      <w:pPr>
        <w:pStyle w:val="PargrafodaLista"/>
        <w:rPr>
          <w:rFonts w:asciiTheme="minorHAnsi" w:hAnsiTheme="minorHAnsi" w:cstheme="minorHAnsi"/>
          <w:bCs/>
          <w:color w:val="000000" w:themeColor="text1"/>
        </w:rPr>
      </w:pPr>
    </w:p>
    <w:p w14:paraId="039730C3" w14:textId="77777777" w:rsidR="001530E2" w:rsidRPr="007E3D0B" w:rsidRDefault="009D2E1B" w:rsidP="008B69D1">
      <w:pPr>
        <w:pStyle w:val="PargrafodaLista"/>
        <w:numPr>
          <w:ilvl w:val="0"/>
          <w:numId w:val="15"/>
        </w:numPr>
        <w:rPr>
          <w:rFonts w:asciiTheme="minorHAnsi" w:hAnsiTheme="minorHAnsi" w:cstheme="minorHAnsi"/>
          <w:bCs/>
          <w:color w:val="000000" w:themeColor="text1"/>
        </w:rPr>
      </w:pPr>
      <w:r w:rsidRPr="007E3D0B">
        <w:rPr>
          <w:rFonts w:asciiTheme="minorHAnsi" w:hAnsiTheme="minorHAnsi" w:cstheme="minorHAnsi"/>
          <w:bCs/>
          <w:color w:val="000000" w:themeColor="text1"/>
        </w:rPr>
        <w:t>a realização das operações por meio de plataformas eletrônicas administradas por sistemas autorizados a funcionar pelo Banco Central do Brasil ou pela Comissão de Valores Mobiliários, nas suas respectivas áreas de competência;</w:t>
      </w:r>
    </w:p>
    <w:p w14:paraId="5A366E13" w14:textId="77777777" w:rsidR="001530E2" w:rsidRPr="007E3D0B" w:rsidRDefault="001530E2" w:rsidP="001530E2">
      <w:pPr>
        <w:pStyle w:val="PargrafodaLista"/>
        <w:rPr>
          <w:rFonts w:asciiTheme="minorHAnsi" w:hAnsiTheme="minorHAnsi" w:cstheme="minorHAnsi"/>
          <w:bCs/>
          <w:color w:val="000000" w:themeColor="text1"/>
        </w:rPr>
      </w:pPr>
    </w:p>
    <w:p w14:paraId="7529A272" w14:textId="77777777" w:rsidR="001530E2" w:rsidRPr="007E3D0B" w:rsidRDefault="009D2E1B" w:rsidP="008B69D1">
      <w:pPr>
        <w:pStyle w:val="PargrafodaLista"/>
        <w:numPr>
          <w:ilvl w:val="0"/>
          <w:numId w:val="15"/>
        </w:numPr>
        <w:rPr>
          <w:rFonts w:asciiTheme="minorHAnsi" w:hAnsiTheme="minorHAnsi" w:cstheme="minorHAnsi"/>
          <w:bCs/>
          <w:color w:val="000000" w:themeColor="text1"/>
        </w:rPr>
      </w:pPr>
      <w:r w:rsidRPr="007E3D0B">
        <w:rPr>
          <w:rFonts w:asciiTheme="minorHAnsi" w:hAnsiTheme="minorHAnsi" w:cstheme="minorHAnsi"/>
          <w:bCs/>
          <w:color w:val="000000" w:themeColor="text1"/>
        </w:rPr>
        <w:t>a guarda dos registros relativos aos valores, condições e volumes efetivamente negociados; e</w:t>
      </w:r>
    </w:p>
    <w:p w14:paraId="5949DD8F" w14:textId="77777777" w:rsidR="001530E2" w:rsidRPr="007E3D0B" w:rsidRDefault="001530E2" w:rsidP="001530E2">
      <w:pPr>
        <w:pStyle w:val="PargrafodaLista"/>
        <w:rPr>
          <w:rFonts w:asciiTheme="minorHAnsi" w:hAnsiTheme="minorHAnsi" w:cstheme="minorHAnsi"/>
          <w:bCs/>
          <w:color w:val="000000" w:themeColor="text1"/>
        </w:rPr>
      </w:pPr>
    </w:p>
    <w:p w14:paraId="01C59164" w14:textId="77777777" w:rsidR="002A2863" w:rsidRPr="007E3D0B" w:rsidRDefault="009D2E1B" w:rsidP="008B69D1">
      <w:pPr>
        <w:pStyle w:val="PargrafodaLista"/>
        <w:numPr>
          <w:ilvl w:val="0"/>
          <w:numId w:val="1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titularidade dos títulos adquiridos em nome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com base em informações de sistemas de registro, custódia ou liquidação financeira, devidamente depositados perante o SELIC.</w:t>
      </w:r>
    </w:p>
    <w:p w14:paraId="13676606" w14:textId="77777777" w:rsidR="00BD2D6E" w:rsidRPr="007E3D0B" w:rsidRDefault="0038315D"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Para comprovação de operações realizadas em ofertas públicas do Tesouro Nacional,</w:t>
      </w:r>
      <w:r w:rsidR="000A6DE3" w:rsidRPr="007E3D0B">
        <w:rPr>
          <w:rFonts w:asciiTheme="minorHAnsi" w:hAnsiTheme="minorHAnsi" w:cstheme="minorHAnsi"/>
          <w:bCs/>
          <w:color w:val="000000" w:themeColor="text1"/>
        </w:rPr>
        <w:t xml:space="preserve"> o </w:t>
      </w:r>
      <w:r w:rsidRPr="007E3D0B">
        <w:rPr>
          <w:rFonts w:asciiTheme="minorHAnsi" w:hAnsiTheme="minorHAnsi" w:cstheme="minorHAnsi"/>
          <w:b/>
          <w:bCs/>
          <w:color w:val="000000" w:themeColor="text1"/>
        </w:rPr>
        <w:t>INSTITUTO DE PREVIDÊNCIA MUNICIPAL DE SANTO ANTÔNIO DE POSSE - IPREM POSSE</w:t>
      </w:r>
      <w:r w:rsidR="000A6DE3" w:rsidRPr="007E3D0B">
        <w:rPr>
          <w:rFonts w:asciiTheme="minorHAnsi" w:hAnsiTheme="minorHAnsi" w:cstheme="minorHAnsi"/>
          <w:bCs/>
          <w:color w:val="000000" w:themeColor="text1"/>
        </w:rPr>
        <w:t xml:space="preserve"> </w:t>
      </w:r>
      <w:r w:rsidRPr="007E3D0B">
        <w:rPr>
          <w:rFonts w:asciiTheme="minorHAnsi" w:hAnsiTheme="minorHAnsi" w:cstheme="minorHAnsi"/>
          <w:bCs/>
          <w:color w:val="000000" w:themeColor="text1"/>
        </w:rPr>
        <w:t xml:space="preserve">deverá arquivar os documentos de comunicação com a </w:t>
      </w:r>
      <w:r w:rsidR="00832E42" w:rsidRPr="007E3D0B">
        <w:rPr>
          <w:rFonts w:asciiTheme="minorHAnsi" w:hAnsiTheme="minorHAnsi" w:cstheme="minorHAnsi"/>
          <w:bCs/>
          <w:color w:val="000000" w:themeColor="text1"/>
        </w:rPr>
        <w:t>I</w:t>
      </w:r>
      <w:r w:rsidRPr="007E3D0B">
        <w:rPr>
          <w:rFonts w:asciiTheme="minorHAnsi" w:hAnsiTheme="minorHAnsi" w:cstheme="minorHAnsi"/>
          <w:bCs/>
          <w:color w:val="000000" w:themeColor="text1"/>
        </w:rPr>
        <w:t>nstituição que participou</w:t>
      </w:r>
      <w:r w:rsidR="000A6DE3" w:rsidRPr="007E3D0B">
        <w:rPr>
          <w:rFonts w:asciiTheme="minorHAnsi" w:hAnsiTheme="minorHAnsi" w:cstheme="minorHAnsi"/>
          <w:bCs/>
          <w:color w:val="000000" w:themeColor="text1"/>
        </w:rPr>
        <w:t xml:space="preserve"> </w:t>
      </w:r>
      <w:r w:rsidRPr="007E3D0B">
        <w:rPr>
          <w:rFonts w:asciiTheme="minorHAnsi" w:hAnsiTheme="minorHAnsi" w:cstheme="minorHAnsi"/>
          <w:bCs/>
          <w:color w:val="000000" w:themeColor="text1"/>
        </w:rPr>
        <w:t>do leilão.</w:t>
      </w:r>
    </w:p>
    <w:p w14:paraId="00C1AC9B" w14:textId="77777777" w:rsidR="0058488D" w:rsidRPr="007E3D0B" w:rsidRDefault="0058488D" w:rsidP="0058488D">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Na hipótese de aquisição de Letras Financeiras,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observará as condições de elegibilidade previstas na Resolução CMN nº 4.963/2021, em especial quanto à emissão por </w:t>
      </w:r>
      <w:r w:rsidR="00E45E71" w:rsidRPr="007E3D0B">
        <w:rPr>
          <w:rFonts w:asciiTheme="minorHAnsi" w:hAnsiTheme="minorHAnsi" w:cstheme="minorHAnsi"/>
          <w:bCs/>
          <w:color w:val="000000" w:themeColor="text1"/>
        </w:rPr>
        <w:t>I</w:t>
      </w:r>
      <w:r w:rsidRPr="007E3D0B">
        <w:rPr>
          <w:rFonts w:asciiTheme="minorHAnsi" w:hAnsiTheme="minorHAnsi" w:cstheme="minorHAnsi"/>
          <w:bCs/>
          <w:color w:val="000000" w:themeColor="text1"/>
        </w:rPr>
        <w:t xml:space="preserve">nstituições </w:t>
      </w:r>
      <w:r w:rsidR="00E45E71" w:rsidRPr="007E3D0B">
        <w:rPr>
          <w:rFonts w:asciiTheme="minorHAnsi" w:hAnsiTheme="minorHAnsi" w:cstheme="minorHAnsi"/>
          <w:bCs/>
          <w:color w:val="000000" w:themeColor="text1"/>
        </w:rPr>
        <w:t>F</w:t>
      </w:r>
      <w:r w:rsidRPr="007E3D0B">
        <w:rPr>
          <w:rFonts w:asciiTheme="minorHAnsi" w:hAnsiTheme="minorHAnsi" w:cstheme="minorHAnsi"/>
          <w:bCs/>
          <w:color w:val="000000" w:themeColor="text1"/>
        </w:rPr>
        <w:t>inanceiras devidamente autorizadas a funcionar pelo Banco Central do Brasil e incluídas na Lista Exaustiva de Instituições Financeiras divulgada pela Secretaria de Previdência</w:t>
      </w:r>
      <w:r w:rsidR="00E45E71" w:rsidRPr="007E3D0B">
        <w:rPr>
          <w:rFonts w:asciiTheme="minorHAnsi" w:hAnsiTheme="minorHAnsi" w:cstheme="minorHAnsi"/>
          <w:bCs/>
          <w:color w:val="000000" w:themeColor="text1"/>
        </w:rPr>
        <w:t xml:space="preserve"> - </w:t>
      </w:r>
      <w:r w:rsidRPr="007E3D0B">
        <w:rPr>
          <w:rFonts w:asciiTheme="minorHAnsi" w:hAnsiTheme="minorHAnsi" w:cstheme="minorHAnsi"/>
          <w:bCs/>
          <w:color w:val="000000" w:themeColor="text1"/>
        </w:rPr>
        <w:t xml:space="preserve">SPREV, adotando essa lista como critério </w:t>
      </w:r>
      <w:r w:rsidR="00E45E71" w:rsidRPr="007E3D0B">
        <w:rPr>
          <w:rFonts w:asciiTheme="minorHAnsi" w:hAnsiTheme="minorHAnsi" w:cstheme="minorHAnsi"/>
          <w:b/>
          <w:color w:val="000000" w:themeColor="text1"/>
        </w:rPr>
        <w:t>OBRIGATÓRIO</w:t>
      </w:r>
      <w:r w:rsidRPr="007E3D0B">
        <w:rPr>
          <w:rFonts w:asciiTheme="minorHAnsi" w:hAnsiTheme="minorHAnsi" w:cstheme="minorHAnsi"/>
          <w:bCs/>
          <w:color w:val="000000" w:themeColor="text1"/>
        </w:rPr>
        <w:t xml:space="preserve"> de seleção para garantir conformidade com os requisitos de governança e risco (art. 21, § 2º, inciso I, e § 8º).</w:t>
      </w:r>
    </w:p>
    <w:p w14:paraId="2107782C" w14:textId="77777777" w:rsidR="0058488D" w:rsidRPr="007E3D0B" w:rsidRDefault="002A4811" w:rsidP="0058488D">
      <w:pPr>
        <w:rPr>
          <w:rFonts w:asciiTheme="minorHAnsi" w:hAnsiTheme="minorHAnsi" w:cstheme="minorHAnsi"/>
          <w:bCs/>
          <w:color w:val="000000" w:themeColor="text1"/>
        </w:rPr>
      </w:pPr>
      <w:r w:rsidRPr="007E3D0B">
        <w:rPr>
          <w:rFonts w:asciiTheme="minorHAnsi" w:hAnsiTheme="minorHAnsi" w:cstheme="minorHAnsi"/>
          <w:bCs/>
          <w:color w:val="000000" w:themeColor="text1"/>
        </w:rPr>
        <w:t>As operações serão realizadas seguindo os procedimentos normais de mercado, compreendendo negociação direta com a instituição emissora ou por meio de distribuidora devidamente autorizada, participação em ofertas primárias ou negociações no mercado secundário, sempre com registro em sistemas de custódia ou liquidação financeira autorizados.</w:t>
      </w:r>
    </w:p>
    <w:p w14:paraId="3699FCDD" w14:textId="77777777" w:rsidR="00AE2499" w:rsidRPr="007E3D0B" w:rsidRDefault="0058488D" w:rsidP="0058488D">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 Letras Financeiras poderão ser objeto de recompra pelo emissor ou de venda no mercado secundário, inclusive com negociação a valor de face, com prêmio ou com deságio, de acordo com as condições de mercado vigentes.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manterá arquivada a documentação comprobatória de cada operação, assegurando a transparência, a rastreabilidade e a segurança das transações realizadas.</w:t>
      </w:r>
    </w:p>
    <w:p w14:paraId="4C867733" w14:textId="77777777" w:rsidR="00AE2499" w:rsidRPr="007E3D0B" w:rsidRDefault="00AE2499" w:rsidP="00500AE2">
      <w:pPr>
        <w:rPr>
          <w:rFonts w:asciiTheme="minorHAnsi" w:hAnsiTheme="minorHAnsi" w:cstheme="minorHAnsi"/>
          <w:bCs/>
          <w:color w:val="000000" w:themeColor="text1"/>
        </w:rPr>
      </w:pPr>
    </w:p>
    <w:p w14:paraId="5D97B7A4" w14:textId="77777777" w:rsidR="00500AE2" w:rsidRPr="007E3D0B" w:rsidRDefault="0015608C" w:rsidP="00A468C9">
      <w:pPr>
        <w:pStyle w:val="Ttulo2"/>
        <w:rPr>
          <w:rFonts w:asciiTheme="minorHAnsi" w:hAnsiTheme="minorHAnsi" w:cstheme="minorHAnsi"/>
          <w:color w:val="000000" w:themeColor="text1"/>
          <w:sz w:val="22"/>
          <w:szCs w:val="22"/>
        </w:rPr>
      </w:pPr>
      <w:bookmarkStart w:id="35" w:name="_Toc435202743"/>
      <w:bookmarkStart w:id="36" w:name="_Toc490036548"/>
      <w:bookmarkStart w:id="37" w:name="_Toc118105141"/>
      <w:r w:rsidRPr="007E3D0B">
        <w:rPr>
          <w:rFonts w:asciiTheme="minorHAnsi" w:hAnsiTheme="minorHAnsi" w:cstheme="minorHAnsi"/>
          <w:color w:val="000000" w:themeColor="text1"/>
          <w:sz w:val="22"/>
          <w:szCs w:val="22"/>
        </w:rPr>
        <w:t>Segmento de Renda Variável</w:t>
      </w:r>
      <w:bookmarkEnd w:id="35"/>
      <w:bookmarkEnd w:id="36"/>
      <w:r w:rsidR="000238E9" w:rsidRPr="007E3D0B">
        <w:rPr>
          <w:rFonts w:asciiTheme="minorHAnsi" w:hAnsiTheme="minorHAnsi" w:cstheme="minorHAnsi"/>
          <w:color w:val="000000" w:themeColor="text1"/>
          <w:sz w:val="22"/>
          <w:szCs w:val="22"/>
        </w:rPr>
        <w:t xml:space="preserve"> e</w:t>
      </w:r>
      <w:r w:rsidRPr="007E3D0B">
        <w:rPr>
          <w:rFonts w:asciiTheme="minorHAnsi" w:hAnsiTheme="minorHAnsi" w:cstheme="minorHAnsi"/>
          <w:color w:val="000000" w:themeColor="text1"/>
          <w:sz w:val="22"/>
          <w:szCs w:val="22"/>
        </w:rPr>
        <w:t xml:space="preserve"> Investimentos Estruturados e Fundos de Investimentos Imobiliários</w:t>
      </w:r>
      <w:bookmarkEnd w:id="37"/>
    </w:p>
    <w:p w14:paraId="206CFFCC"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Em relação ao segmento de renda variável, investimentos estruturados e fundos de investimentos imobiliários, a Resolução CMN nº 4.963/2021 estabelece que o limite legal dos recursos alocados nos segmentos, não poderão exceder cumulativamente ao limite de 30% da totalidade dos recursos em moeda corrente.</w:t>
      </w:r>
    </w:p>
    <w:p w14:paraId="109DFA32" w14:textId="77777777" w:rsidR="00500AE2" w:rsidRPr="007E3D0B" w:rsidRDefault="00500AE2" w:rsidP="00500AE2">
      <w:pPr>
        <w:rPr>
          <w:rFonts w:asciiTheme="minorHAnsi" w:hAnsiTheme="minorHAnsi" w:cstheme="minorHAnsi"/>
          <w:b/>
          <w:bCs/>
          <w:color w:val="000000" w:themeColor="text1"/>
        </w:rPr>
      </w:pPr>
      <w:r w:rsidRPr="007E3D0B">
        <w:rPr>
          <w:rFonts w:asciiTheme="minorHAnsi" w:hAnsiTheme="minorHAnsi" w:cstheme="minorHAnsi"/>
          <w:bCs/>
          <w:color w:val="000000" w:themeColor="text1"/>
        </w:rPr>
        <w:t xml:space="preserve">Neste sentido,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propõe adotar como </w:t>
      </w:r>
      <w:r w:rsidRPr="007E3D0B">
        <w:rPr>
          <w:rFonts w:asciiTheme="minorHAnsi" w:hAnsiTheme="minorHAnsi" w:cstheme="minorHAnsi"/>
          <w:b/>
          <w:bCs/>
          <w:color w:val="000000" w:themeColor="text1"/>
        </w:rPr>
        <w:t xml:space="preserve">limite máximo o percentual </w:t>
      </w:r>
      <w:r w:rsidRPr="007E3D0B">
        <w:rPr>
          <w:rFonts w:asciiTheme="minorHAnsi" w:hAnsiTheme="minorHAnsi" w:cstheme="minorHAnsi"/>
          <w:b/>
          <w:color w:val="000000" w:themeColor="text1"/>
        </w:rPr>
        <w:t xml:space="preserve">de </w:t>
      </w:r>
      <w:r w:rsidR="00AE72A1" w:rsidRPr="007E3D0B">
        <w:rPr>
          <w:rFonts w:asciiTheme="minorHAnsi" w:hAnsiTheme="minorHAnsi" w:cstheme="minorHAnsi"/>
          <w:b/>
          <w:color w:val="000000" w:themeColor="text1"/>
        </w:rPr>
        <w:t>30%</w:t>
      </w:r>
      <w:r w:rsidR="0015608C" w:rsidRPr="007E3D0B">
        <w:rPr>
          <w:rFonts w:asciiTheme="minorHAnsi" w:hAnsiTheme="minorHAnsi" w:cstheme="minorHAnsi"/>
          <w:b/>
          <w:color w:val="000000" w:themeColor="text1"/>
        </w:rPr>
        <w:t xml:space="preserve"> </w:t>
      </w:r>
      <w:r w:rsidR="008A3F2E" w:rsidRPr="007E3D0B">
        <w:rPr>
          <w:rFonts w:asciiTheme="minorHAnsi" w:hAnsiTheme="minorHAnsi" w:cstheme="minorHAnsi"/>
          <w:b/>
          <w:bCs/>
          <w:color w:val="000000" w:themeColor="text1"/>
        </w:rPr>
        <w:t>da totalidade dos recursos</w:t>
      </w:r>
      <w:r w:rsidRPr="007E3D0B">
        <w:rPr>
          <w:rFonts w:asciiTheme="minorHAnsi" w:hAnsiTheme="minorHAnsi" w:cstheme="minorHAnsi"/>
          <w:b/>
          <w:bCs/>
          <w:color w:val="000000" w:themeColor="text1"/>
        </w:rPr>
        <w:t>.</w:t>
      </w:r>
    </w:p>
    <w:p w14:paraId="179415C6"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São considerados como investimentos estruturados segundo Resolução CMN n° 4.963/2021, os fundos de investimento classificados como multimercado, os fundos de investimento em participações - FIPs e os fundos de investimento classificados como “Ações – Mercado de Acesso”.</w:t>
      </w:r>
    </w:p>
    <w:p w14:paraId="27141CF4" w14:textId="77777777" w:rsidR="00277BEB" w:rsidRPr="007E3D0B" w:rsidRDefault="00277BEB" w:rsidP="00277BEB">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 aplicações em Fundos de Investimento Imobiliário (FII) são admitidas dentro deste segmento, desde que respeitados os requisitos de elegibilidade e credenciamento previstos na regulamentação vigente. Ressalta-se que os FIIs não devem ser confundidos com aportes de bens, direitos e ativos de natureza imobiliária </w:t>
      </w:r>
      <w:r w:rsidRPr="007E3D0B">
        <w:rPr>
          <w:rFonts w:asciiTheme="minorHAnsi" w:hAnsiTheme="minorHAnsi" w:cstheme="minorHAnsi"/>
          <w:bCs/>
          <w:color w:val="000000" w:themeColor="text1"/>
        </w:rPr>
        <w:lastRenderedPageBreak/>
        <w:t xml:space="preserve">realizados diretamente pelo Ente Federativo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que possuem regramento próprio.</w:t>
      </w:r>
    </w:p>
    <w:p w14:paraId="49A7962E" w14:textId="77777777" w:rsidR="00635488" w:rsidRPr="007E3D0B" w:rsidRDefault="00277BEB" w:rsidP="00277BEB">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 decisões de investimento em renda variável, estruturados e fundos imobiliários deverão ser fundamentadas em análises técnicas, de risco e de aderência à estratégia de alocação definida, priorizando a segurança, a liquidez e a rentabilidade compatíveis com os objetivos de longo prazo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3D393EE0" w14:textId="77777777" w:rsidR="00277BEB" w:rsidRPr="007E3D0B" w:rsidRDefault="00277BEB" w:rsidP="00277BEB">
      <w:pPr>
        <w:rPr>
          <w:rFonts w:asciiTheme="minorHAnsi" w:hAnsiTheme="minorHAnsi" w:cstheme="minorHAnsi"/>
          <w:bCs/>
          <w:color w:val="000000" w:themeColor="text1"/>
        </w:rPr>
      </w:pPr>
    </w:p>
    <w:p w14:paraId="582DDAE2" w14:textId="77777777" w:rsidR="00500AE2" w:rsidRPr="007E3D0B" w:rsidRDefault="00730172" w:rsidP="00A468C9">
      <w:pPr>
        <w:pStyle w:val="Ttulo2"/>
        <w:rPr>
          <w:rFonts w:asciiTheme="minorHAnsi" w:hAnsiTheme="minorHAnsi" w:cstheme="minorHAnsi"/>
          <w:color w:val="000000" w:themeColor="text1"/>
          <w:sz w:val="22"/>
          <w:szCs w:val="22"/>
        </w:rPr>
      </w:pPr>
      <w:bookmarkStart w:id="38" w:name="_Toc118105142"/>
      <w:r w:rsidRPr="007E3D0B">
        <w:rPr>
          <w:rFonts w:asciiTheme="minorHAnsi" w:hAnsiTheme="minorHAnsi" w:cstheme="minorHAnsi"/>
          <w:color w:val="000000" w:themeColor="text1"/>
          <w:sz w:val="22"/>
          <w:szCs w:val="22"/>
        </w:rPr>
        <w:t>Segmento de Investimentos no Exterior</w:t>
      </w:r>
      <w:bookmarkEnd w:id="38"/>
    </w:p>
    <w:p w14:paraId="72330330"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No segmento classificado como “Investimentos no Exterior”, a Resolução CMN nº 4.963/2021 estabelece que o limite legal dos recursos alocados não poderá exceder cumulativamente ao limite de 10% (dez por cento) da totalidade dos recursos em moeda corrente.</w:t>
      </w:r>
    </w:p>
    <w:p w14:paraId="2A0E48A4" w14:textId="77777777" w:rsidR="00500AE2" w:rsidRPr="007E3D0B" w:rsidRDefault="00500AE2" w:rsidP="00500AE2">
      <w:pPr>
        <w:rPr>
          <w:rFonts w:asciiTheme="minorHAnsi" w:hAnsiTheme="minorHAnsi" w:cstheme="minorHAnsi"/>
          <w:b/>
          <w:bCs/>
          <w:color w:val="000000" w:themeColor="text1"/>
        </w:rPr>
      </w:pPr>
      <w:r w:rsidRPr="007E3D0B">
        <w:rPr>
          <w:rFonts w:asciiTheme="minorHAnsi" w:hAnsiTheme="minorHAnsi" w:cstheme="minorHAnsi"/>
          <w:bCs/>
          <w:color w:val="000000" w:themeColor="text1"/>
        </w:rPr>
        <w:t xml:space="preserve">Neste sentido,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propõe adotar como </w:t>
      </w:r>
      <w:r w:rsidRPr="007E3D0B">
        <w:rPr>
          <w:rFonts w:asciiTheme="minorHAnsi" w:hAnsiTheme="minorHAnsi" w:cstheme="minorHAnsi"/>
          <w:b/>
          <w:bCs/>
          <w:color w:val="000000" w:themeColor="text1"/>
        </w:rPr>
        <w:t>limite máximo o percentual de 10% da totalidade dos recursos.</w:t>
      </w:r>
    </w:p>
    <w:p w14:paraId="01058D54" w14:textId="77777777" w:rsidR="00CB1056" w:rsidRPr="007E3D0B" w:rsidRDefault="00CB1056" w:rsidP="00CB105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Serão considerados aptos a receber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apenas os fundos de investimento constituídos no exterior que possuam histórico mínimo de 12 (doze) meses, cujos gestores estejam em atividade há mais de 5 (cinco) anos e administrem, na data do aporte, montante de recursos de terceiros equivalente a pelo menos US$ 5 bilhões.</w:t>
      </w:r>
    </w:p>
    <w:p w14:paraId="4D0B8982" w14:textId="77777777" w:rsidR="00CB1056" w:rsidRPr="007E3D0B" w:rsidRDefault="00CB1056" w:rsidP="00CB105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aplicações deverão ser realizadas em conformidade com os critérios de governança, transparência e gestão de riscos estabelecidos na regulamentação vigente, observando-se sempre a compatibilidade com o perfil de investimentos e com os objetivos previdenciários de longo prazo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4EA730B2" w14:textId="77777777" w:rsidR="00CB1056" w:rsidRPr="007E3D0B" w:rsidRDefault="00CB1056" w:rsidP="00500AE2">
      <w:pPr>
        <w:rPr>
          <w:rFonts w:asciiTheme="minorHAnsi" w:hAnsiTheme="minorHAnsi" w:cstheme="minorHAnsi"/>
          <w:color w:val="000000" w:themeColor="text1"/>
        </w:rPr>
      </w:pPr>
    </w:p>
    <w:p w14:paraId="7F03F440" w14:textId="77777777" w:rsidR="00500AE2" w:rsidRPr="007E3D0B" w:rsidRDefault="00CB148C" w:rsidP="00A468C9">
      <w:pPr>
        <w:pStyle w:val="Ttulo2"/>
        <w:rPr>
          <w:rFonts w:asciiTheme="minorHAnsi" w:hAnsiTheme="minorHAnsi" w:cstheme="minorHAnsi"/>
          <w:color w:val="000000" w:themeColor="text1"/>
          <w:sz w:val="22"/>
          <w:szCs w:val="22"/>
        </w:rPr>
      </w:pPr>
      <w:bookmarkStart w:id="39" w:name="_Toc118105143"/>
      <w:r w:rsidRPr="007E3D0B">
        <w:rPr>
          <w:rFonts w:asciiTheme="minorHAnsi" w:hAnsiTheme="minorHAnsi" w:cstheme="minorHAnsi"/>
          <w:color w:val="000000" w:themeColor="text1"/>
          <w:sz w:val="22"/>
          <w:szCs w:val="22"/>
        </w:rPr>
        <w:t>Empréstimo Consignado</w:t>
      </w:r>
      <w:bookmarkEnd w:id="39"/>
    </w:p>
    <w:p w14:paraId="55BE486A" w14:textId="77777777" w:rsidR="007E53EC"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color w:val="000000" w:themeColor="text1"/>
        </w:rPr>
        <w:t xml:space="preserve">Para o segmento de </w:t>
      </w:r>
      <w:r w:rsidR="00832E42" w:rsidRPr="007E3D0B">
        <w:rPr>
          <w:rFonts w:asciiTheme="minorHAnsi" w:hAnsiTheme="minorHAnsi" w:cstheme="minorHAnsi"/>
          <w:color w:val="000000" w:themeColor="text1"/>
        </w:rPr>
        <w:t>E</w:t>
      </w:r>
      <w:r w:rsidRPr="007E3D0B">
        <w:rPr>
          <w:rFonts w:asciiTheme="minorHAnsi" w:hAnsiTheme="minorHAnsi" w:cstheme="minorHAnsi"/>
          <w:color w:val="000000" w:themeColor="text1"/>
        </w:rPr>
        <w:t>mpréstimo</w:t>
      </w:r>
      <w:r w:rsidR="00832E42" w:rsidRPr="007E3D0B">
        <w:rPr>
          <w:rFonts w:asciiTheme="minorHAnsi" w:hAnsiTheme="minorHAnsi" w:cstheme="minorHAnsi"/>
          <w:color w:val="000000" w:themeColor="text1"/>
        </w:rPr>
        <w:t xml:space="preserve"> Consignado</w:t>
      </w:r>
      <w:r w:rsidRPr="007E3D0B">
        <w:rPr>
          <w:rFonts w:asciiTheme="minorHAnsi" w:hAnsiTheme="minorHAnsi" w:cstheme="minorHAnsi"/>
          <w:color w:val="000000" w:themeColor="text1"/>
        </w:rPr>
        <w:t xml:space="preserve"> </w:t>
      </w:r>
      <w:r w:rsidR="00832E42" w:rsidRPr="007E3D0B">
        <w:rPr>
          <w:rFonts w:asciiTheme="minorHAnsi" w:hAnsiTheme="minorHAnsi" w:cstheme="minorHAnsi"/>
          <w:color w:val="000000" w:themeColor="text1"/>
        </w:rPr>
        <w:t>aos</w:t>
      </w:r>
      <w:r w:rsidRPr="007E3D0B">
        <w:rPr>
          <w:rFonts w:asciiTheme="minorHAnsi" w:hAnsiTheme="minorHAnsi" w:cstheme="minorHAnsi"/>
          <w:color w:val="000000" w:themeColor="text1"/>
        </w:rPr>
        <w:t xml:space="preserve"> segurados em atividade, aposentados e pensionistas, </w:t>
      </w:r>
      <w:r w:rsidRPr="007E3D0B">
        <w:rPr>
          <w:rFonts w:asciiTheme="minorHAnsi" w:hAnsiTheme="minorHAnsi" w:cstheme="minorHAnsi"/>
          <w:bCs/>
          <w:color w:val="000000" w:themeColor="text1"/>
        </w:rPr>
        <w:t xml:space="preserve">a Resolução CMN nº 4.963/2021 estabelece que o limite legal </w:t>
      </w:r>
      <w:r w:rsidR="00095719" w:rsidRPr="007E3D0B">
        <w:rPr>
          <w:rFonts w:asciiTheme="minorHAnsi" w:hAnsiTheme="minorHAnsi" w:cstheme="minorHAnsi"/>
          <w:bCs/>
          <w:color w:val="000000" w:themeColor="text1"/>
        </w:rPr>
        <w:t>é de</w:t>
      </w:r>
      <w:r w:rsidR="00945822" w:rsidRPr="007E3D0B">
        <w:rPr>
          <w:rFonts w:asciiTheme="minorHAnsi" w:hAnsiTheme="minorHAnsi" w:cstheme="minorHAnsi"/>
          <w:bCs/>
          <w:color w:val="000000" w:themeColor="text1"/>
        </w:rPr>
        <w:t xml:space="preserve"> </w:t>
      </w:r>
      <w:r w:rsidR="00945822" w:rsidRPr="007E3D0B">
        <w:rPr>
          <w:rFonts w:asciiTheme="minorHAnsi" w:hAnsiTheme="minorHAnsi" w:cstheme="minorHAnsi"/>
          <w:b/>
          <w:color w:val="000000" w:themeColor="text1"/>
        </w:rPr>
        <w:t>5,00% (cinco por cento)</w:t>
      </w:r>
      <w:r w:rsidRPr="007E3D0B">
        <w:rPr>
          <w:rFonts w:asciiTheme="minorHAnsi" w:hAnsiTheme="minorHAnsi" w:cstheme="minorHAnsi"/>
          <w:bCs/>
          <w:color w:val="000000" w:themeColor="text1"/>
        </w:rPr>
        <w:t xml:space="preserve"> da totalidade dos recursos em moeda corrente.</w:t>
      </w:r>
    </w:p>
    <w:p w14:paraId="7FECEC6F" w14:textId="77777777" w:rsidR="00081D25" w:rsidRPr="007E3D0B" w:rsidRDefault="00081D25" w:rsidP="00700C5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Com a obtenção da Certificação Institucional Pró-Gestão,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poderá adotar como limite máximo o percentual de 10,00% (dez por cento) da totalidade dos recursos, observado o cumprimento dos requisitos de elegibilidade e governança exigidos, bem como a manutenção de níveis adequados de liquidez e solvência.</w:t>
      </w:r>
    </w:p>
    <w:p w14:paraId="3F376E09" w14:textId="77777777" w:rsidR="00635488" w:rsidRPr="007E3D0B" w:rsidRDefault="00D00B48" w:rsidP="00700C52">
      <w:pPr>
        <w:rPr>
          <w:rFonts w:asciiTheme="minorHAnsi" w:hAnsiTheme="minorHAnsi" w:cstheme="minorHAnsi"/>
          <w:color w:val="000000" w:themeColor="text1"/>
        </w:rPr>
      </w:pPr>
      <w:bookmarkStart w:id="40" w:name="_Toc118105144"/>
      <w:r w:rsidRPr="007E3D0B">
        <w:rPr>
          <w:rFonts w:asciiTheme="minorHAnsi" w:hAnsiTheme="minorHAnsi" w:cstheme="minorHAnsi"/>
          <w:color w:val="000000" w:themeColor="text1"/>
        </w:rPr>
        <w:t xml:space="preserve">No processo de implantação da modalidade, caso seja de interesse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não serão caracterizados desenquadramentos os excessos temporários em relação aos limites aqui definidos, aplicando-se o prazo de </w:t>
      </w:r>
      <w:r w:rsidRPr="007E3D0B">
        <w:rPr>
          <w:rFonts w:asciiTheme="minorHAnsi" w:hAnsiTheme="minorHAnsi" w:cstheme="minorHAnsi"/>
          <w:b/>
          <w:bCs/>
          <w:color w:val="000000" w:themeColor="text1"/>
        </w:rPr>
        <w:t>60 (sessenta) dias</w:t>
      </w:r>
      <w:r w:rsidRPr="007E3D0B">
        <w:rPr>
          <w:rFonts w:asciiTheme="minorHAnsi" w:hAnsiTheme="minorHAnsi" w:cstheme="minorHAnsi"/>
          <w:color w:val="000000" w:themeColor="text1"/>
        </w:rPr>
        <w:t xml:space="preserve"> para revisão e adequação desta Política de Investimentos aos novos parâmetros, nos termos do art. 12, § 11, da Resolução CMN nº 4.963/2021.</w:t>
      </w:r>
    </w:p>
    <w:p w14:paraId="4C853818" w14:textId="77777777" w:rsidR="00890C26" w:rsidRPr="007E3D0B" w:rsidRDefault="00890C26" w:rsidP="00700C52">
      <w:pPr>
        <w:rPr>
          <w:rFonts w:asciiTheme="minorHAnsi" w:hAnsiTheme="minorHAnsi" w:cstheme="minorHAnsi"/>
          <w:bCs/>
          <w:color w:val="000000" w:themeColor="text1"/>
        </w:rPr>
      </w:pPr>
    </w:p>
    <w:p w14:paraId="2DC5CEFB" w14:textId="77777777" w:rsidR="006519FD" w:rsidRPr="007E3D0B" w:rsidRDefault="006519FD"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lastRenderedPageBreak/>
        <w:t>Taxa de Performance</w:t>
      </w:r>
    </w:p>
    <w:p w14:paraId="18A239FE" w14:textId="77777777" w:rsidR="00C80701" w:rsidRPr="007E3D0B" w:rsidRDefault="00423489" w:rsidP="006519FD">
      <w:pPr>
        <w:rPr>
          <w:rFonts w:asciiTheme="minorHAnsi" w:hAnsiTheme="minorHAnsi" w:cstheme="minorHAnsi"/>
          <w:color w:val="000000" w:themeColor="text1"/>
        </w:rPr>
      </w:pPr>
      <w:r w:rsidRPr="007E3D0B">
        <w:rPr>
          <w:rFonts w:asciiTheme="minorHAnsi" w:hAnsiTheme="minorHAnsi" w:cstheme="minorHAnsi"/>
          <w:color w:val="000000" w:themeColor="text1"/>
        </w:rPr>
        <w:t>A taxa de performance</w:t>
      </w:r>
      <w:r w:rsidR="00087A51" w:rsidRPr="007E3D0B">
        <w:rPr>
          <w:rFonts w:asciiTheme="minorHAnsi" w:hAnsiTheme="minorHAnsi" w:cstheme="minorHAnsi"/>
          <w:color w:val="000000" w:themeColor="text1"/>
        </w:rPr>
        <w:t xml:space="preserve"> corresponde a uma taxa cobrada por um fundo de investimento pela rentabilidade acima de algum </w:t>
      </w:r>
      <w:r w:rsidR="00087A51" w:rsidRPr="007E3D0B">
        <w:rPr>
          <w:rFonts w:asciiTheme="minorHAnsi" w:hAnsiTheme="minorHAnsi" w:cstheme="minorHAnsi"/>
          <w:i/>
          <w:iCs/>
          <w:color w:val="000000" w:themeColor="text1"/>
        </w:rPr>
        <w:t>benchmark</w:t>
      </w:r>
      <w:r w:rsidR="00087A51" w:rsidRPr="007E3D0B">
        <w:rPr>
          <w:rFonts w:asciiTheme="minorHAnsi" w:hAnsiTheme="minorHAnsi" w:cstheme="minorHAnsi"/>
          <w:color w:val="000000" w:themeColor="text1"/>
        </w:rPr>
        <w:t xml:space="preserve"> pré-estabelecido</w:t>
      </w:r>
      <w:r w:rsidR="00B107B6" w:rsidRPr="007E3D0B">
        <w:rPr>
          <w:rFonts w:asciiTheme="minorHAnsi" w:hAnsiTheme="minorHAnsi" w:cstheme="minorHAnsi"/>
          <w:color w:val="000000" w:themeColor="text1"/>
        </w:rPr>
        <w:t xml:space="preserve"> em regulamento</w:t>
      </w:r>
      <w:r w:rsidR="00087A51" w:rsidRPr="007E3D0B">
        <w:rPr>
          <w:rFonts w:asciiTheme="minorHAnsi" w:hAnsiTheme="minorHAnsi" w:cstheme="minorHAnsi"/>
          <w:color w:val="000000" w:themeColor="text1"/>
        </w:rPr>
        <w:t>, sendo, portanto, uma recompensa pelo bom desempenho dos gestores.</w:t>
      </w:r>
    </w:p>
    <w:p w14:paraId="229791B4" w14:textId="77777777" w:rsidR="005757FE" w:rsidRPr="007E3D0B" w:rsidRDefault="00CE1404" w:rsidP="005757FE">
      <w:pPr>
        <w:rPr>
          <w:rFonts w:asciiTheme="minorHAnsi" w:hAnsiTheme="minorHAnsi" w:cstheme="minorHAnsi"/>
          <w:color w:val="000000" w:themeColor="text1"/>
        </w:rPr>
      </w:pPr>
      <w:r w:rsidRPr="007E3D0B">
        <w:rPr>
          <w:rFonts w:asciiTheme="minorHAnsi" w:hAnsiTheme="minorHAnsi" w:cstheme="minorHAnsi"/>
          <w:color w:val="000000" w:themeColor="text1"/>
        </w:rPr>
        <w:t>A aplicação d</w:t>
      </w:r>
      <w:r w:rsidR="0045452D" w:rsidRPr="007E3D0B">
        <w:rPr>
          <w:rFonts w:asciiTheme="minorHAnsi" w:hAnsiTheme="minorHAnsi" w:cstheme="minorHAnsi"/>
          <w:color w:val="000000" w:themeColor="text1"/>
        </w:rPr>
        <w:t>os</w:t>
      </w:r>
      <w:r w:rsidRPr="007E3D0B">
        <w:rPr>
          <w:rFonts w:asciiTheme="minorHAnsi" w:hAnsiTheme="minorHAnsi" w:cstheme="minorHAnsi"/>
          <w:color w:val="000000" w:themeColor="text1"/>
        </w:rPr>
        <w:t xml:space="preserve"> recursos </w:t>
      </w:r>
      <w:r w:rsidR="00A73E9A" w:rsidRPr="007E3D0B">
        <w:rPr>
          <w:rFonts w:asciiTheme="minorHAnsi" w:hAnsiTheme="minorHAnsi" w:cstheme="minorHAnsi"/>
          <w:color w:val="000000" w:themeColor="text1"/>
        </w:rPr>
        <w:t>efetuad</w:t>
      </w:r>
      <w:r w:rsidR="0045452D" w:rsidRPr="007E3D0B">
        <w:rPr>
          <w:rFonts w:asciiTheme="minorHAnsi" w:hAnsiTheme="minorHAnsi" w:cstheme="minorHAnsi"/>
          <w:color w:val="000000" w:themeColor="text1"/>
        </w:rPr>
        <w:t>o</w:t>
      </w:r>
      <w:r w:rsidR="00A73E9A" w:rsidRPr="007E3D0B">
        <w:rPr>
          <w:rFonts w:asciiTheme="minorHAnsi" w:hAnsiTheme="minorHAnsi" w:cstheme="minorHAnsi"/>
          <w:color w:val="000000" w:themeColor="text1"/>
        </w:rPr>
        <w:t xml:space="preserve">s </w:t>
      </w:r>
      <w:r w:rsidRPr="007E3D0B">
        <w:rPr>
          <w:rFonts w:asciiTheme="minorHAnsi" w:hAnsiTheme="minorHAnsi" w:cstheme="minorHAnsi"/>
          <w:color w:val="000000" w:themeColor="text1"/>
        </w:rPr>
        <w:t xml:space="preserve">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em fundos de</w:t>
      </w:r>
      <w:r w:rsidR="00BC7ABB"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investimentos</w:t>
      </w:r>
      <w:r w:rsidR="00A73E9A" w:rsidRPr="007E3D0B">
        <w:rPr>
          <w:rFonts w:asciiTheme="minorHAnsi" w:hAnsiTheme="minorHAnsi" w:cstheme="minorHAnsi"/>
          <w:color w:val="000000" w:themeColor="text1"/>
        </w:rPr>
        <w:t xml:space="preserve"> </w:t>
      </w:r>
      <w:r w:rsidR="002D5628" w:rsidRPr="007E3D0B">
        <w:rPr>
          <w:rFonts w:asciiTheme="minorHAnsi" w:hAnsiTheme="minorHAnsi" w:cstheme="minorHAnsi"/>
          <w:color w:val="000000" w:themeColor="text1"/>
        </w:rPr>
        <w:t>que prevê</w:t>
      </w:r>
      <w:r w:rsidR="008E332C" w:rsidRPr="007E3D0B">
        <w:rPr>
          <w:rFonts w:asciiTheme="minorHAnsi" w:hAnsiTheme="minorHAnsi" w:cstheme="minorHAnsi"/>
          <w:color w:val="000000" w:themeColor="text1"/>
        </w:rPr>
        <w:t xml:space="preserve"> em</w:t>
      </w:r>
      <w:r w:rsidRPr="007E3D0B">
        <w:rPr>
          <w:rFonts w:asciiTheme="minorHAnsi" w:hAnsiTheme="minorHAnsi" w:cstheme="minorHAnsi"/>
          <w:color w:val="000000" w:themeColor="text1"/>
        </w:rPr>
        <w:t xml:space="preserve"> regulamentos ou contratos cláusulas</w:t>
      </w:r>
      <w:r w:rsidR="006913B1" w:rsidRPr="007E3D0B">
        <w:rPr>
          <w:rFonts w:asciiTheme="minorHAnsi" w:hAnsiTheme="minorHAnsi" w:cstheme="minorHAnsi"/>
          <w:color w:val="000000" w:themeColor="text1"/>
        </w:rPr>
        <w:t xml:space="preserve"> </w:t>
      </w:r>
      <w:r w:rsidR="001C38E8" w:rsidRPr="007E3D0B">
        <w:rPr>
          <w:rFonts w:asciiTheme="minorHAnsi" w:hAnsiTheme="minorHAnsi" w:cstheme="minorHAnsi"/>
          <w:color w:val="000000" w:themeColor="text1"/>
        </w:rPr>
        <w:t xml:space="preserve">de </w:t>
      </w:r>
      <w:r w:rsidR="007708D7" w:rsidRPr="007E3D0B">
        <w:rPr>
          <w:rFonts w:asciiTheme="minorHAnsi" w:hAnsiTheme="minorHAnsi" w:cstheme="minorHAnsi"/>
          <w:color w:val="000000" w:themeColor="text1"/>
        </w:rPr>
        <w:t>pagamento da</w:t>
      </w:r>
      <w:r w:rsidRPr="007E3D0B">
        <w:rPr>
          <w:rFonts w:asciiTheme="minorHAnsi" w:hAnsiTheme="minorHAnsi" w:cstheme="minorHAnsi"/>
          <w:color w:val="000000" w:themeColor="text1"/>
        </w:rPr>
        <w:t xml:space="preserve"> taxa de performance</w:t>
      </w:r>
      <w:r w:rsidR="00523FCC" w:rsidRPr="007E3D0B">
        <w:rPr>
          <w:rFonts w:asciiTheme="minorHAnsi" w:hAnsiTheme="minorHAnsi" w:cstheme="minorHAnsi"/>
          <w:color w:val="000000" w:themeColor="text1"/>
        </w:rPr>
        <w:t xml:space="preserve">, </w:t>
      </w:r>
      <w:r w:rsidR="001C38E8" w:rsidRPr="007E3D0B">
        <w:rPr>
          <w:rFonts w:asciiTheme="minorHAnsi" w:hAnsiTheme="minorHAnsi" w:cstheme="minorHAnsi"/>
          <w:color w:val="000000" w:themeColor="text1"/>
        </w:rPr>
        <w:t xml:space="preserve">deverão </w:t>
      </w:r>
      <w:r w:rsidR="0045452D" w:rsidRPr="007E3D0B">
        <w:rPr>
          <w:rFonts w:asciiTheme="minorHAnsi" w:hAnsiTheme="minorHAnsi" w:cstheme="minorHAnsi"/>
          <w:color w:val="000000" w:themeColor="text1"/>
        </w:rPr>
        <w:t>apresentar</w:t>
      </w:r>
      <w:r w:rsidR="00710BC8" w:rsidRPr="007E3D0B">
        <w:rPr>
          <w:rFonts w:asciiTheme="minorHAnsi" w:hAnsiTheme="minorHAnsi" w:cstheme="minorHAnsi"/>
          <w:color w:val="000000" w:themeColor="text1"/>
        </w:rPr>
        <w:t xml:space="preserve"> a</w:t>
      </w:r>
      <w:r w:rsidR="007708D7" w:rsidRPr="007E3D0B">
        <w:rPr>
          <w:rFonts w:asciiTheme="minorHAnsi" w:hAnsiTheme="minorHAnsi" w:cstheme="minorHAnsi"/>
          <w:color w:val="000000" w:themeColor="text1"/>
        </w:rPr>
        <w:t>s seguintes condições:</w:t>
      </w:r>
    </w:p>
    <w:p w14:paraId="2BBD645C" w14:textId="77777777" w:rsidR="00320829"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Quando pode cobrar:</w:t>
      </w:r>
      <w:r w:rsidRPr="007E3D0B">
        <w:rPr>
          <w:rFonts w:asciiTheme="minorHAnsi" w:hAnsiTheme="minorHAnsi" w:cstheme="minorHAnsi"/>
          <w:color w:val="000000" w:themeColor="text1"/>
        </w:rPr>
        <w:t xml:space="preserve"> somente se a rentabilidade do fundo superar 100% do benchmark</w:t>
      </w:r>
      <w:r w:rsidR="004732DC" w:rsidRPr="007E3D0B">
        <w:rPr>
          <w:rFonts w:asciiTheme="minorHAnsi" w:hAnsiTheme="minorHAnsi" w:cstheme="minorHAnsi"/>
          <w:color w:val="000000" w:themeColor="text1"/>
        </w:rPr>
        <w:t>.</w:t>
      </w:r>
    </w:p>
    <w:p w14:paraId="1BBFD938" w14:textId="77777777" w:rsidR="00320829" w:rsidRPr="007E3D0B" w:rsidRDefault="00320829" w:rsidP="00320829">
      <w:pPr>
        <w:pStyle w:val="PargrafodaLista"/>
        <w:rPr>
          <w:rFonts w:asciiTheme="minorHAnsi" w:hAnsiTheme="minorHAnsi" w:cstheme="minorHAnsi"/>
          <w:color w:val="000000" w:themeColor="text1"/>
        </w:rPr>
      </w:pPr>
    </w:p>
    <w:p w14:paraId="29FCEADF" w14:textId="77777777" w:rsidR="00320829"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Sem prejuízo:</w:t>
      </w:r>
      <w:r w:rsidRPr="007E3D0B">
        <w:rPr>
          <w:rFonts w:asciiTheme="minorHAnsi" w:hAnsiTheme="minorHAnsi" w:cstheme="minorHAnsi"/>
          <w:color w:val="000000" w:themeColor="text1"/>
        </w:rPr>
        <w:t xml:space="preserve"> só haverá cobrança se o saldo do investimento estiver maior que o valor aplicado inicialmente ou maior que o saldo da última cobrança de performance (quando houver).</w:t>
      </w:r>
    </w:p>
    <w:p w14:paraId="66CB4952" w14:textId="77777777" w:rsidR="00320829" w:rsidRPr="007E3D0B" w:rsidRDefault="00320829" w:rsidP="00320829">
      <w:pPr>
        <w:pStyle w:val="PargrafodaLista"/>
        <w:rPr>
          <w:rFonts w:asciiTheme="minorHAnsi" w:hAnsiTheme="minorHAnsi" w:cstheme="minorHAnsi"/>
          <w:color w:val="000000" w:themeColor="text1"/>
        </w:rPr>
      </w:pPr>
    </w:p>
    <w:p w14:paraId="1FC8C69A" w14:textId="77777777" w:rsidR="004732DC"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Periodicidade:</w:t>
      </w:r>
      <w:r w:rsidRPr="007E3D0B">
        <w:rPr>
          <w:rFonts w:asciiTheme="minorHAnsi" w:hAnsiTheme="minorHAnsi" w:cstheme="minorHAnsi"/>
          <w:color w:val="000000" w:themeColor="text1"/>
        </w:rPr>
        <w:t xml:space="preserve"> a apuração e cobrança deve ocorrer no mínimo a cada 6 (seis) meses (não pode ser mensal ou trimestral).</w:t>
      </w:r>
    </w:p>
    <w:p w14:paraId="7477C66D" w14:textId="77777777" w:rsidR="004732DC" w:rsidRPr="007E3D0B" w:rsidRDefault="004732DC" w:rsidP="004732DC">
      <w:pPr>
        <w:pStyle w:val="PargrafodaLista"/>
        <w:rPr>
          <w:rFonts w:asciiTheme="minorHAnsi" w:hAnsiTheme="minorHAnsi" w:cstheme="minorHAnsi"/>
          <w:color w:val="000000" w:themeColor="text1"/>
        </w:rPr>
      </w:pPr>
    </w:p>
    <w:p w14:paraId="3204448D" w14:textId="77777777" w:rsidR="004732DC"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Transparência:</w:t>
      </w:r>
      <w:r w:rsidRPr="007E3D0B">
        <w:rPr>
          <w:rFonts w:asciiTheme="minorHAnsi" w:hAnsiTheme="minorHAnsi" w:cstheme="minorHAnsi"/>
          <w:color w:val="000000" w:themeColor="text1"/>
        </w:rPr>
        <w:t xml:space="preserve"> o regulamento/contrato deve informar, de forma simples, qual é o benchmark, qual é o percentual da taxa e como é feito o cálculo (período de medição e eventuais ajustes).</w:t>
      </w:r>
    </w:p>
    <w:p w14:paraId="68C69FED" w14:textId="77777777" w:rsidR="004732DC" w:rsidRPr="007E3D0B" w:rsidRDefault="004732DC" w:rsidP="004732DC">
      <w:pPr>
        <w:pStyle w:val="PargrafodaLista"/>
        <w:rPr>
          <w:rFonts w:asciiTheme="minorHAnsi" w:hAnsiTheme="minorHAnsi" w:cstheme="minorHAnsi"/>
          <w:color w:val="000000" w:themeColor="text1"/>
        </w:rPr>
      </w:pPr>
    </w:p>
    <w:p w14:paraId="26F2249C" w14:textId="77777777" w:rsidR="00126A85"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Relato de cobrança:</w:t>
      </w:r>
      <w:r w:rsidRPr="007E3D0B">
        <w:rPr>
          <w:rFonts w:asciiTheme="minorHAnsi" w:hAnsiTheme="minorHAnsi" w:cstheme="minorHAnsi"/>
          <w:color w:val="000000" w:themeColor="text1"/>
        </w:rPr>
        <w:t xml:space="preserve"> a cada evento, o administrador/gestor deve enviar demonstrativo com a memória de cálculo e a comparação com o benchmark do período.</w:t>
      </w:r>
    </w:p>
    <w:p w14:paraId="32734286" w14:textId="77777777" w:rsidR="00126A85" w:rsidRPr="007E3D0B" w:rsidRDefault="00126A85" w:rsidP="00126A85">
      <w:pPr>
        <w:pStyle w:val="PargrafodaLista"/>
        <w:rPr>
          <w:rFonts w:asciiTheme="minorHAnsi" w:hAnsiTheme="minorHAnsi" w:cstheme="minorHAnsi"/>
          <w:color w:val="000000" w:themeColor="text1"/>
        </w:rPr>
      </w:pPr>
    </w:p>
    <w:p w14:paraId="0ACBDDF5" w14:textId="77777777" w:rsidR="00126A85"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Fundos de fundos:</w:t>
      </w:r>
      <w:r w:rsidRPr="007E3D0B">
        <w:rPr>
          <w:rFonts w:asciiTheme="minorHAnsi" w:hAnsiTheme="minorHAnsi" w:cstheme="minorHAnsi"/>
          <w:color w:val="000000" w:themeColor="text1"/>
        </w:rPr>
        <w:t xml:space="preserve"> deve-se evitar dupla cobrança (priorizar fundos com abatimento/compensação quando investem em outros fundos com performance).</w:t>
      </w:r>
    </w:p>
    <w:p w14:paraId="4A0EBA39" w14:textId="77777777" w:rsidR="00126A85" w:rsidRPr="007E3D0B" w:rsidRDefault="00126A85" w:rsidP="00126A85">
      <w:pPr>
        <w:pStyle w:val="PargrafodaLista"/>
        <w:rPr>
          <w:rFonts w:asciiTheme="minorHAnsi" w:hAnsiTheme="minorHAnsi" w:cstheme="minorHAnsi"/>
          <w:color w:val="000000" w:themeColor="text1"/>
        </w:rPr>
      </w:pPr>
    </w:p>
    <w:p w14:paraId="320AFBB8" w14:textId="77777777" w:rsidR="00320829" w:rsidRPr="007E3D0B" w:rsidRDefault="00320829" w:rsidP="008B69D1">
      <w:pPr>
        <w:pStyle w:val="PargrafodaLista"/>
        <w:numPr>
          <w:ilvl w:val="0"/>
          <w:numId w:val="16"/>
        </w:numPr>
        <w:rPr>
          <w:rFonts w:asciiTheme="minorHAnsi" w:hAnsiTheme="minorHAnsi" w:cstheme="minorHAnsi"/>
          <w:color w:val="000000" w:themeColor="text1"/>
        </w:rPr>
      </w:pPr>
      <w:r w:rsidRPr="007E3D0B">
        <w:rPr>
          <w:rFonts w:asciiTheme="minorHAnsi" w:hAnsiTheme="minorHAnsi" w:cstheme="minorHAnsi"/>
          <w:b/>
          <w:bCs/>
          <w:color w:val="000000" w:themeColor="text1"/>
        </w:rPr>
        <w:t>Compatibilidade com o risco:</w:t>
      </w:r>
      <w:r w:rsidRPr="007E3D0B">
        <w:rPr>
          <w:rFonts w:asciiTheme="minorHAnsi" w:hAnsiTheme="minorHAnsi" w:cstheme="minorHAnsi"/>
          <w:color w:val="000000" w:themeColor="text1"/>
        </w:rPr>
        <w:t xml:space="preserve"> só utilizar fundos </w:t>
      </w:r>
      <w:r w:rsidR="00126A85" w:rsidRPr="007E3D0B">
        <w:rPr>
          <w:rFonts w:asciiTheme="minorHAnsi" w:hAnsiTheme="minorHAnsi" w:cstheme="minorHAnsi"/>
          <w:color w:val="000000" w:themeColor="text1"/>
        </w:rPr>
        <w:t xml:space="preserve">de investimentos </w:t>
      </w:r>
      <w:r w:rsidRPr="007E3D0B">
        <w:rPr>
          <w:rFonts w:asciiTheme="minorHAnsi" w:hAnsiTheme="minorHAnsi" w:cstheme="minorHAnsi"/>
          <w:color w:val="000000" w:themeColor="text1"/>
        </w:rPr>
        <w:t>com taxa de performance se estiverem alinhados à alocação estratégica e aos limites de risco desta Política.</w:t>
      </w:r>
    </w:p>
    <w:p w14:paraId="6A67819B" w14:textId="77777777" w:rsidR="00320829" w:rsidRPr="007E3D0B" w:rsidRDefault="00320829" w:rsidP="00320829">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condições acima integram os critérios de credenciamento e diligência para seleção e acompanhamento de fundos de investimentos, devendo constar </w:t>
      </w:r>
      <w:r w:rsidR="006F36E1" w:rsidRPr="007E3D0B">
        <w:rPr>
          <w:rFonts w:asciiTheme="minorHAnsi" w:hAnsiTheme="minorHAnsi" w:cstheme="minorHAnsi"/>
          <w:color w:val="000000" w:themeColor="text1"/>
        </w:rPr>
        <w:t>n</w:t>
      </w:r>
      <w:r w:rsidRPr="007E3D0B">
        <w:rPr>
          <w:rFonts w:asciiTheme="minorHAnsi" w:hAnsiTheme="minorHAnsi" w:cstheme="minorHAnsi"/>
          <w:color w:val="000000" w:themeColor="text1"/>
        </w:rPr>
        <w:t xml:space="preserve">os relatórios de análise, pareceres e </w:t>
      </w:r>
      <w:r w:rsidR="006F36E1" w:rsidRPr="007E3D0B">
        <w:rPr>
          <w:rFonts w:asciiTheme="minorHAnsi" w:hAnsiTheme="minorHAnsi" w:cstheme="minorHAnsi"/>
          <w:color w:val="000000" w:themeColor="text1"/>
        </w:rPr>
        <w:t>n</w:t>
      </w:r>
      <w:r w:rsidRPr="007E3D0B">
        <w:rPr>
          <w:rFonts w:asciiTheme="minorHAnsi" w:hAnsiTheme="minorHAnsi" w:cstheme="minorHAnsi"/>
          <w:color w:val="000000" w:themeColor="text1"/>
        </w:rPr>
        <w:t>os processos de seleção e monitoramento.</w:t>
      </w:r>
    </w:p>
    <w:p w14:paraId="1FE40741" w14:textId="77777777" w:rsidR="00782094" w:rsidRPr="007E3D0B" w:rsidRDefault="00782094" w:rsidP="00782094">
      <w:pPr>
        <w:rPr>
          <w:rFonts w:asciiTheme="minorHAnsi" w:hAnsiTheme="minorHAnsi" w:cstheme="minorHAnsi"/>
          <w:color w:val="000000" w:themeColor="text1"/>
        </w:rPr>
      </w:pPr>
    </w:p>
    <w:p w14:paraId="09F70A54" w14:textId="77777777" w:rsidR="00500AE2" w:rsidRPr="007E3D0B" w:rsidRDefault="00224525"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Limites Gerais</w:t>
      </w:r>
      <w:bookmarkEnd w:id="40"/>
    </w:p>
    <w:p w14:paraId="6553F774" w14:textId="77777777" w:rsidR="00500AE2" w:rsidRPr="007E3D0B" w:rsidRDefault="002B0397"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Para fins de acompanhamento dos limites gerais da carteira de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serão consolidadas as posições das aplicações realizadas diretamente e indiretamente por meio de fundos de investimento (FI) e fundos de investimento em cotas (FICFI). A aferição considerará o critério de transparência proporcional da carteira dos fundos (com base em informações oficiais do administrador/gestor), de modo a refletir de forma fiel a exposição por emissor, ativo e segmento.</w:t>
      </w:r>
    </w:p>
    <w:p w14:paraId="61490D28" w14:textId="77777777" w:rsidR="00500AE2" w:rsidRPr="007E3D0B" w:rsidRDefault="00C571A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Os limites aplicáveis a títulos e valores mobiliários de emissão ou coobrigação de uma mesma pessoa jurídica serão aqueles previstos na Resolução CMN nº 4.963/2021, observados, adicionalmente, os limites internos desta Política.</w:t>
      </w:r>
    </w:p>
    <w:p w14:paraId="4A8AA693"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No que tange ao limite geral de exposição por fundos de investimentos e em cotas de fundos de investimentos, </w:t>
      </w:r>
      <w:r w:rsidRPr="007E3D0B">
        <w:rPr>
          <w:rFonts w:asciiTheme="minorHAnsi" w:hAnsiTheme="minorHAnsi" w:cstheme="minorHAnsi"/>
          <w:color w:val="000000" w:themeColor="text1"/>
        </w:rPr>
        <w:t>fica o</w:t>
      </w:r>
      <w:r w:rsidRPr="007E3D0B">
        <w:rPr>
          <w:rFonts w:asciiTheme="minorHAnsi" w:hAnsiTheme="minorHAnsi" w:cstheme="minorHAnsi"/>
          <w:bCs/>
          <w:color w:val="000000" w:themeColor="text1"/>
        </w:rPr>
        <w:t xml:space="preserve">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limitado a </w:t>
      </w:r>
      <w:r w:rsidRPr="007E3D0B">
        <w:rPr>
          <w:rFonts w:asciiTheme="minorHAnsi" w:hAnsiTheme="minorHAnsi" w:cstheme="minorHAnsi"/>
          <w:b/>
          <w:color w:val="000000" w:themeColor="text1"/>
        </w:rPr>
        <w:t>20% de exposição</w:t>
      </w:r>
      <w:r w:rsidRPr="007E3D0B">
        <w:rPr>
          <w:rFonts w:asciiTheme="minorHAnsi" w:hAnsiTheme="minorHAnsi" w:cstheme="minorHAnsi"/>
          <w:bCs/>
          <w:color w:val="000000" w:themeColor="text1"/>
        </w:rPr>
        <w:t>, com exceção dada aos fundos de investimentos enquadrados no Art. 7º, inciso I, alínea “b” da Resolução CMN nº 4.963/2021.</w:t>
      </w:r>
    </w:p>
    <w:p w14:paraId="44253696" w14:textId="77777777" w:rsidR="00B35751" w:rsidRPr="007E3D0B" w:rsidRDefault="00B35751" w:rsidP="00B35751">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 exposição do total das aplicações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no patrimônio líquido de um mesmo fundo de investimento fica limitada a </w:t>
      </w:r>
      <w:r w:rsidRPr="007E3D0B">
        <w:rPr>
          <w:rFonts w:asciiTheme="minorHAnsi" w:hAnsiTheme="minorHAnsi" w:cstheme="minorHAnsi"/>
          <w:b/>
          <w:bCs/>
          <w:color w:val="000000" w:themeColor="text1"/>
        </w:rPr>
        <w:t>15% (quinze por cento)</w:t>
      </w:r>
      <w:r w:rsidRPr="007E3D0B">
        <w:rPr>
          <w:rFonts w:asciiTheme="minorHAnsi" w:hAnsiTheme="minorHAnsi" w:cstheme="minorHAnsi"/>
          <w:color w:val="000000" w:themeColor="text1"/>
        </w:rPr>
        <w:t xml:space="preserve">. Para fundos classificados como FIDC – Fundos de Investimento em Direitos Creditórios, Crédito Privado e Fundos de Infraestrutura, a exposição em um mesmo fundo fica limitada a </w:t>
      </w:r>
      <w:r w:rsidRPr="007E3D0B">
        <w:rPr>
          <w:rFonts w:asciiTheme="minorHAnsi" w:hAnsiTheme="minorHAnsi" w:cstheme="minorHAnsi"/>
          <w:b/>
          <w:bCs/>
          <w:color w:val="000000" w:themeColor="text1"/>
        </w:rPr>
        <w:t>5% (cinco por cento)</w:t>
      </w:r>
      <w:r w:rsidRPr="007E3D0B">
        <w:rPr>
          <w:rFonts w:asciiTheme="minorHAnsi" w:hAnsiTheme="minorHAnsi" w:cstheme="minorHAnsi"/>
          <w:color w:val="000000" w:themeColor="text1"/>
        </w:rPr>
        <w:t>. Para os fundos classificados como Investimentos no Exterior, considera-se, para efeito de cálculo, o patrimônio líquido do fundo de investimento constituído no exterior.</w:t>
      </w:r>
    </w:p>
    <w:p w14:paraId="62ABE285" w14:textId="77777777" w:rsidR="001F2F5B" w:rsidRPr="007E3D0B" w:rsidRDefault="00B35751" w:rsidP="00B35751">
      <w:pPr>
        <w:rPr>
          <w:rFonts w:asciiTheme="minorHAnsi" w:hAnsiTheme="minorHAnsi" w:cstheme="minorHAnsi"/>
          <w:color w:val="000000" w:themeColor="text1"/>
        </w:rPr>
      </w:pPr>
      <w:r w:rsidRPr="007E3D0B">
        <w:rPr>
          <w:rFonts w:asciiTheme="minorHAnsi" w:hAnsiTheme="minorHAnsi" w:cstheme="minorHAnsi"/>
          <w:color w:val="000000" w:themeColor="text1"/>
        </w:rPr>
        <w:t>Os limites deste subitem não se aplicam a fundos de investimentos que apliquem seus recursos exclusivamente em títulos públicos federais ou em operações compromissadas lastreadas nesses títulos.</w:t>
      </w:r>
    </w:p>
    <w:p w14:paraId="771DF3D6" w14:textId="77777777" w:rsidR="001C403F" w:rsidRPr="007E3D0B" w:rsidRDefault="00F823F8"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FIDC que integrem a carteira </w:t>
      </w:r>
      <w:r w:rsidR="001C403F" w:rsidRPr="007E3D0B">
        <w:rPr>
          <w:rFonts w:asciiTheme="minorHAnsi" w:hAnsiTheme="minorHAnsi" w:cstheme="minorHAnsi"/>
          <w:color w:val="000000" w:themeColor="text1"/>
        </w:rPr>
        <w:t xml:space="preserve">de investimentos </w:t>
      </w:r>
      <w:r w:rsidRPr="007E3D0B">
        <w:rPr>
          <w:rFonts w:asciiTheme="minorHAnsi" w:hAnsiTheme="minorHAnsi" w:cstheme="minorHAnsi"/>
          <w:color w:val="000000" w:themeColor="text1"/>
        </w:rPr>
        <w:t xml:space="preserve">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 partir de 1º de janeiro de 2015, o limite por fundo </w:t>
      </w:r>
      <w:r w:rsidR="001C403F" w:rsidRPr="007E3D0B">
        <w:rPr>
          <w:rFonts w:asciiTheme="minorHAnsi" w:hAnsiTheme="minorHAnsi" w:cstheme="minorHAnsi"/>
          <w:color w:val="000000" w:themeColor="text1"/>
        </w:rPr>
        <w:t xml:space="preserve">de investimentos </w:t>
      </w:r>
      <w:r w:rsidRPr="007E3D0B">
        <w:rPr>
          <w:rFonts w:asciiTheme="minorHAnsi" w:hAnsiTheme="minorHAnsi" w:cstheme="minorHAnsi"/>
          <w:color w:val="000000" w:themeColor="text1"/>
        </w:rPr>
        <w:t>será calculado em proporção ao total de cotas da classe sênior, e não sobre o total de cotas do fundo.</w:t>
      </w:r>
    </w:p>
    <w:p w14:paraId="53204BAE"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total das aplicações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em fundos de investimento não pode exceder a </w:t>
      </w:r>
      <w:r w:rsidRPr="007E3D0B">
        <w:rPr>
          <w:rFonts w:asciiTheme="minorHAnsi" w:hAnsiTheme="minorHAnsi" w:cstheme="minorHAnsi"/>
          <w:b/>
          <w:bCs/>
          <w:color w:val="000000" w:themeColor="text1"/>
        </w:rPr>
        <w:t>5% (cinco por cento)</w:t>
      </w:r>
      <w:r w:rsidRPr="007E3D0B">
        <w:rPr>
          <w:rFonts w:asciiTheme="minorHAnsi" w:hAnsiTheme="minorHAnsi" w:cstheme="minorHAnsi"/>
          <w:color w:val="000000" w:themeColor="text1"/>
        </w:rPr>
        <w:t xml:space="preserve"> do volume total de recursos de terceiros gerido por um mesmo gestor ou por gestoras ligadas ao seu respectivo grupo econômico.</w:t>
      </w:r>
    </w:p>
    <w:p w14:paraId="190444A1"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Na obtenção da Certificação Institucional Pró-Gestão, os limites definidos nesta Política de Investimentos serão elevados gradativamente de acordo com o nível conquistado em consonância com o disposto no art. 7º, § 7º, art. 8º, § 3º</w:t>
      </w:r>
      <w:r w:rsidR="00133110"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 xml:space="preserve"> art. 10º, § 2º</w:t>
      </w:r>
      <w:r w:rsidR="00133110" w:rsidRPr="007E3D0B">
        <w:rPr>
          <w:rFonts w:asciiTheme="minorHAnsi" w:hAnsiTheme="minorHAnsi" w:cstheme="minorHAnsi"/>
          <w:color w:val="000000" w:themeColor="text1"/>
        </w:rPr>
        <w:t xml:space="preserve"> e art. 14</w:t>
      </w:r>
      <w:r w:rsidR="00373B6A" w:rsidRPr="007E3D0B">
        <w:rPr>
          <w:rFonts w:asciiTheme="minorHAnsi" w:hAnsiTheme="minorHAnsi" w:cstheme="minorHAnsi"/>
          <w:color w:val="000000" w:themeColor="text1"/>
        </w:rPr>
        <w:t>º, § único</w:t>
      </w:r>
      <w:r w:rsidRPr="007E3D0B">
        <w:rPr>
          <w:rFonts w:asciiTheme="minorHAnsi" w:hAnsiTheme="minorHAnsi" w:cstheme="minorHAnsi"/>
          <w:color w:val="000000" w:themeColor="text1"/>
        </w:rPr>
        <w:t xml:space="preserve"> da Resolução CMN nº4.963/2021.</w:t>
      </w:r>
    </w:p>
    <w:p w14:paraId="53C995FA" w14:textId="77777777" w:rsidR="00DA2A6D" w:rsidRPr="007E3D0B" w:rsidRDefault="00DA2A6D" w:rsidP="00DA2A6D">
      <w:pPr>
        <w:rPr>
          <w:rFonts w:asciiTheme="minorHAnsi" w:hAnsiTheme="minorHAnsi" w:cstheme="minorHAnsi"/>
          <w:color w:val="000000" w:themeColor="text1"/>
        </w:rPr>
      </w:pPr>
      <w:bookmarkStart w:id="41" w:name="_Toc496794768"/>
      <w:bookmarkStart w:id="42" w:name="_Toc496794769"/>
      <w:bookmarkStart w:id="43" w:name="_Toc496794770"/>
      <w:bookmarkStart w:id="44" w:name="_Toc496794771"/>
      <w:bookmarkStart w:id="45" w:name="_Toc496794772"/>
      <w:bookmarkStart w:id="46" w:name="_Toc490036550"/>
      <w:bookmarkEnd w:id="41"/>
      <w:bookmarkEnd w:id="42"/>
      <w:bookmarkEnd w:id="43"/>
      <w:bookmarkEnd w:id="44"/>
      <w:bookmarkEnd w:id="45"/>
      <w:r w:rsidRPr="007E3D0B">
        <w:rPr>
          <w:rFonts w:asciiTheme="minorHAnsi" w:hAnsiTheme="minorHAnsi" w:cstheme="minorHAnsi"/>
          <w:color w:val="000000" w:themeColor="text1"/>
        </w:rPr>
        <w:t>A verificação de limites será realizada mensalmente (ou em frequência superior quando houver eventos relevantes), com registro documental das evidências e relato ao Comitê de Investimentos e demais instâncias de governança.</w:t>
      </w:r>
    </w:p>
    <w:p w14:paraId="778B6837" w14:textId="77777777" w:rsidR="00635488" w:rsidRPr="007E3D0B" w:rsidRDefault="00DA2A6D" w:rsidP="00DA2A6D">
      <w:pPr>
        <w:rPr>
          <w:rFonts w:asciiTheme="minorHAnsi" w:hAnsiTheme="minorHAnsi" w:cstheme="minorHAnsi"/>
          <w:color w:val="000000" w:themeColor="text1"/>
        </w:rPr>
      </w:pPr>
      <w:r w:rsidRPr="007E3D0B">
        <w:rPr>
          <w:rFonts w:asciiTheme="minorHAnsi" w:hAnsiTheme="minorHAnsi" w:cstheme="minorHAnsi"/>
          <w:color w:val="000000" w:themeColor="text1"/>
        </w:rPr>
        <w:t>Em eventual desenquadramento dos limites previstos, o Comitê de Investimentos, em conjunto com o Gestor dos Recursos, adotará as medidas previstas no Plano de Contingência desta Política, distinguindo-se, quando aplicável, situações de desenquadramento passivo e/ou ativo, com as respectivas providências, prazos e registros em ata</w:t>
      </w:r>
      <w:r w:rsidR="00B32EC5" w:rsidRPr="007E3D0B">
        <w:rPr>
          <w:rFonts w:asciiTheme="minorHAnsi" w:hAnsiTheme="minorHAnsi" w:cstheme="minorHAnsi"/>
          <w:color w:val="000000" w:themeColor="text1"/>
        </w:rPr>
        <w:t>.</w:t>
      </w:r>
    </w:p>
    <w:p w14:paraId="3A2A025D" w14:textId="77777777" w:rsidR="00D72956" w:rsidRPr="007E3D0B" w:rsidRDefault="00D72956" w:rsidP="00DA2A6D">
      <w:pPr>
        <w:rPr>
          <w:rFonts w:asciiTheme="minorHAnsi" w:hAnsiTheme="minorHAnsi" w:cstheme="minorHAnsi"/>
          <w:color w:val="000000" w:themeColor="text1"/>
        </w:rPr>
      </w:pPr>
    </w:p>
    <w:p w14:paraId="78A97157" w14:textId="77777777" w:rsidR="00500AE2" w:rsidRPr="007E3D0B" w:rsidRDefault="00F57C97" w:rsidP="00A468C9">
      <w:pPr>
        <w:pStyle w:val="Ttulo2"/>
        <w:rPr>
          <w:rFonts w:asciiTheme="minorHAnsi" w:hAnsiTheme="minorHAnsi" w:cstheme="minorHAnsi"/>
          <w:color w:val="000000" w:themeColor="text1"/>
          <w:sz w:val="22"/>
          <w:szCs w:val="22"/>
        </w:rPr>
      </w:pPr>
      <w:bookmarkStart w:id="47" w:name="_Toc118105145"/>
      <w:r w:rsidRPr="007E3D0B">
        <w:rPr>
          <w:rFonts w:asciiTheme="minorHAnsi" w:hAnsiTheme="minorHAnsi" w:cstheme="minorHAnsi"/>
          <w:color w:val="000000" w:themeColor="text1"/>
          <w:sz w:val="22"/>
          <w:szCs w:val="22"/>
        </w:rPr>
        <w:t>Demais Enquadramento</w:t>
      </w:r>
      <w:bookmarkEnd w:id="46"/>
      <w:r w:rsidRPr="007E3D0B">
        <w:rPr>
          <w:rFonts w:asciiTheme="minorHAnsi" w:hAnsiTheme="minorHAnsi" w:cstheme="minorHAnsi"/>
          <w:color w:val="000000" w:themeColor="text1"/>
          <w:sz w:val="22"/>
          <w:szCs w:val="22"/>
        </w:rPr>
        <w:t>s</w:t>
      </w:r>
      <w:bookmarkEnd w:id="47"/>
    </w:p>
    <w:p w14:paraId="176E025B" w14:textId="77777777" w:rsidR="00047303" w:rsidRPr="007E3D0B" w:rsidRDefault="008D36F5" w:rsidP="0004730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observa todos os limites estabelecidos nesta Política de Investimentos e na Resolução CMN nº 4.963/2021, destacando-se as disposições a seguir</w:t>
      </w:r>
      <w:r w:rsidR="00500AE2" w:rsidRPr="007E3D0B">
        <w:rPr>
          <w:rFonts w:asciiTheme="minorHAnsi" w:hAnsiTheme="minorHAnsi" w:cstheme="minorHAnsi"/>
          <w:color w:val="000000" w:themeColor="text1"/>
        </w:rPr>
        <w:t>:</w:t>
      </w:r>
    </w:p>
    <w:p w14:paraId="725D1853" w14:textId="77777777" w:rsidR="00047303" w:rsidRPr="007E3D0B" w:rsidRDefault="00500AE2" w:rsidP="008B69D1">
      <w:pPr>
        <w:pStyle w:val="PargrafodaLista"/>
        <w:numPr>
          <w:ilvl w:val="0"/>
          <w:numId w:val="24"/>
        </w:num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Poderão ser mantidas em carteira de investimentos, por até 180 (cento e oitenta) dias, as aplicações que passem a ficar desenquadradas em relação a esta Política de Investimentos e a Resolução CMN nº 4.963/2021, desde que seja comprovado que o desenquadramento foi decorrente de situações involuntárias, para as quais não tenha dado causa, e que o seu desinvestimento ocasionaria, comparativamente à sua manutenção, maiores riscos para o atendimento aos princípios segurança, rentabilidade, solvência, liquidez, motivação, adequação a natureza de suas obrigações e transparência;</w:t>
      </w:r>
    </w:p>
    <w:p w14:paraId="787B1BFD" w14:textId="77777777" w:rsidR="00047303" w:rsidRPr="007E3D0B" w:rsidRDefault="00047303" w:rsidP="00047303">
      <w:pPr>
        <w:pStyle w:val="PargrafodaLista"/>
        <w:rPr>
          <w:rFonts w:asciiTheme="minorHAnsi" w:hAnsiTheme="minorHAnsi" w:cstheme="minorHAnsi"/>
          <w:color w:val="000000" w:themeColor="text1"/>
        </w:rPr>
      </w:pPr>
    </w:p>
    <w:p w14:paraId="25EDB239" w14:textId="77777777" w:rsidR="00500AE2" w:rsidRPr="007E3D0B" w:rsidRDefault="00500AE2" w:rsidP="008B69D1">
      <w:pPr>
        <w:pStyle w:val="PargrafodaLista"/>
        <w:numPr>
          <w:ilvl w:val="0"/>
          <w:numId w:val="24"/>
        </w:numPr>
        <w:rPr>
          <w:rFonts w:asciiTheme="minorHAnsi" w:hAnsiTheme="minorHAnsi" w:cstheme="minorHAnsi"/>
          <w:color w:val="000000" w:themeColor="text1"/>
        </w:rPr>
      </w:pPr>
      <w:r w:rsidRPr="007E3D0B">
        <w:rPr>
          <w:rFonts w:asciiTheme="minorHAnsi" w:hAnsiTheme="minorHAnsi" w:cstheme="minorHAnsi"/>
          <w:bCs/>
          <w:color w:val="000000" w:themeColor="text1"/>
        </w:rPr>
        <w:t xml:space="preserve">Poderão ainda ser mantidas em carteira de investimentos, até seu respectivo encerramento, os fundos de investimentos que apresentem prazos para vencimento, resgate, carência ou conversão de cotas superior a </w:t>
      </w:r>
      <w:r w:rsidRPr="007E3D0B">
        <w:rPr>
          <w:rFonts w:asciiTheme="minorHAnsi" w:hAnsiTheme="minorHAnsi" w:cstheme="minorHAnsi"/>
          <w:color w:val="000000" w:themeColor="text1"/>
        </w:rPr>
        <w:t>180 (cento e oitenta) dias</w:t>
      </w:r>
      <w:r w:rsidRPr="007E3D0B">
        <w:rPr>
          <w:rFonts w:asciiTheme="minorHAnsi" w:hAnsiTheme="minorHAnsi" w:cstheme="minorHAnsi"/>
          <w:bCs/>
          <w:color w:val="000000" w:themeColor="text1"/>
        </w:rPr>
        <w:t xml:space="preserve">, estando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obrigado a demonstrar a adoção de medidas de melhoria da governança e do controle de riscos na gestão dos recursos.</w:t>
      </w:r>
    </w:p>
    <w:p w14:paraId="2ADAEB2E" w14:textId="77777777" w:rsidR="00047303" w:rsidRPr="007E3D0B" w:rsidRDefault="00500AE2" w:rsidP="00047303">
      <w:pPr>
        <w:rPr>
          <w:rFonts w:asciiTheme="minorHAnsi" w:hAnsiTheme="minorHAnsi" w:cstheme="minorHAnsi"/>
          <w:bCs/>
          <w:color w:val="000000" w:themeColor="text1"/>
        </w:rPr>
      </w:pPr>
      <w:r w:rsidRPr="007E3D0B">
        <w:rPr>
          <w:rFonts w:asciiTheme="minorHAnsi" w:hAnsiTheme="minorHAnsi" w:cstheme="minorHAnsi"/>
          <w:bCs/>
          <w:color w:val="000000" w:themeColor="text1"/>
        </w:rPr>
        <w:t>Serão entendidos como situações involuntárias:</w:t>
      </w:r>
    </w:p>
    <w:p w14:paraId="2B7D1F93"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Entrada em vigor de alterações da Resolução vigente;</w:t>
      </w:r>
    </w:p>
    <w:p w14:paraId="7A311866" w14:textId="77777777" w:rsidR="00047303" w:rsidRPr="007E3D0B" w:rsidRDefault="00047303" w:rsidP="00047303">
      <w:pPr>
        <w:pStyle w:val="PargrafodaLista"/>
        <w:rPr>
          <w:rFonts w:asciiTheme="minorHAnsi" w:hAnsiTheme="minorHAnsi" w:cstheme="minorHAnsi"/>
          <w:bCs/>
          <w:color w:val="000000" w:themeColor="text1"/>
        </w:rPr>
      </w:pPr>
    </w:p>
    <w:p w14:paraId="488204A1"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Resgate de cotas de fundos de investimento por um outro cotista, nos quais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
          <w:color w:val="000000" w:themeColor="text1"/>
        </w:rPr>
        <w:t xml:space="preserve"> </w:t>
      </w:r>
      <w:r w:rsidRPr="007E3D0B">
        <w:rPr>
          <w:rFonts w:asciiTheme="minorHAnsi" w:hAnsiTheme="minorHAnsi" w:cstheme="minorHAnsi"/>
          <w:bCs/>
          <w:color w:val="000000" w:themeColor="text1"/>
        </w:rPr>
        <w:t>não efetue novos aportes;</w:t>
      </w:r>
    </w:p>
    <w:p w14:paraId="3EF86CD4" w14:textId="77777777" w:rsidR="00047303" w:rsidRPr="007E3D0B" w:rsidRDefault="00047303" w:rsidP="00047303">
      <w:pPr>
        <w:pStyle w:val="PargrafodaLista"/>
        <w:rPr>
          <w:rFonts w:asciiTheme="minorHAnsi" w:hAnsiTheme="minorHAnsi" w:cstheme="minorHAnsi"/>
          <w:bCs/>
          <w:color w:val="000000" w:themeColor="text1"/>
        </w:rPr>
      </w:pPr>
    </w:p>
    <w:p w14:paraId="5B73E0C6"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Valorização ou desvalorização dos demais ativos financeiros e fundos de investimentos que incorporam a carteira de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0782EB04" w14:textId="77777777" w:rsidR="00047303" w:rsidRPr="007E3D0B" w:rsidRDefault="00047303" w:rsidP="00047303">
      <w:pPr>
        <w:pStyle w:val="PargrafodaLista"/>
        <w:rPr>
          <w:rFonts w:asciiTheme="minorHAnsi" w:hAnsiTheme="minorHAnsi" w:cstheme="minorHAnsi"/>
          <w:bCs/>
          <w:color w:val="000000" w:themeColor="text1"/>
        </w:rPr>
      </w:pPr>
    </w:p>
    <w:p w14:paraId="447EBF2F"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Reorganização da estrutura do fundo de investimento em decorrência de incorporação, fusão, cisão e transformação ou de outras deliberações da assembleia geral de cotistas, após as aplicações realizadas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4D7959E5" w14:textId="77777777" w:rsidR="00047303" w:rsidRPr="007E3D0B" w:rsidRDefault="00047303" w:rsidP="00047303">
      <w:pPr>
        <w:pStyle w:val="PargrafodaLista"/>
        <w:rPr>
          <w:rFonts w:asciiTheme="minorHAnsi" w:hAnsiTheme="minorHAnsi" w:cstheme="minorHAnsi"/>
          <w:bCs/>
          <w:color w:val="000000" w:themeColor="text1"/>
        </w:rPr>
      </w:pPr>
    </w:p>
    <w:p w14:paraId="437A8EA4"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Ocorrência de eventos de riscos que prejudiquem a formação das reservas e a evolução do patrimônio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ou quando decorrentes de revisão do plano de custeio e da segregação da massa;</w:t>
      </w:r>
    </w:p>
    <w:p w14:paraId="4FBF0B5C" w14:textId="77777777" w:rsidR="00047303" w:rsidRPr="007E3D0B" w:rsidRDefault="00047303" w:rsidP="00047303">
      <w:pPr>
        <w:pStyle w:val="PargrafodaLista"/>
        <w:rPr>
          <w:rFonts w:asciiTheme="minorHAnsi" w:hAnsiTheme="minorHAnsi" w:cstheme="minorHAnsi"/>
          <w:bCs/>
          <w:color w:val="000000" w:themeColor="text1"/>
        </w:rPr>
      </w:pPr>
    </w:p>
    <w:p w14:paraId="6F23A3D5"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Aplicações efetuadas na aquisição de cotas de fundo de investimento destinado exclusivamente a investidores qualificados ou profissionais, caso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
          <w:color w:val="000000" w:themeColor="text1"/>
        </w:rPr>
        <w:t xml:space="preserve"> </w:t>
      </w:r>
      <w:r w:rsidRPr="007E3D0B">
        <w:rPr>
          <w:rFonts w:asciiTheme="minorHAnsi" w:hAnsiTheme="minorHAnsi" w:cstheme="minorHAnsi"/>
          <w:bCs/>
          <w:color w:val="000000" w:themeColor="text1"/>
        </w:rPr>
        <w:t>deixe de atender aos critérios estabelecidos para essa categorização em regulamentação específica, com exceção do exposto na Nota Técnica SEI nº 457/2022/MTP; e</w:t>
      </w:r>
    </w:p>
    <w:p w14:paraId="4551134C" w14:textId="77777777" w:rsidR="00047303" w:rsidRPr="007E3D0B" w:rsidRDefault="00047303" w:rsidP="00047303">
      <w:pPr>
        <w:pStyle w:val="PargrafodaLista"/>
        <w:rPr>
          <w:rFonts w:asciiTheme="minorHAnsi" w:hAnsiTheme="minorHAnsi" w:cstheme="minorHAnsi"/>
          <w:bCs/>
          <w:color w:val="000000" w:themeColor="text1"/>
        </w:rPr>
      </w:pPr>
    </w:p>
    <w:p w14:paraId="525E1A42" w14:textId="77777777" w:rsidR="00047303"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t>Aplicações efetuadas em fundos de investimentos ou ativos financeiros que deixarem de observar os requisitos e condições previstos na Resolução CMN nº 4.963/2021.</w:t>
      </w:r>
    </w:p>
    <w:p w14:paraId="7F223309" w14:textId="77777777" w:rsidR="00047303" w:rsidRPr="007E3D0B" w:rsidRDefault="00047303" w:rsidP="00047303">
      <w:pPr>
        <w:pStyle w:val="PargrafodaLista"/>
        <w:rPr>
          <w:rFonts w:asciiTheme="minorHAnsi" w:hAnsiTheme="minorHAnsi" w:cstheme="minorHAnsi"/>
          <w:bCs/>
          <w:color w:val="000000" w:themeColor="text1"/>
        </w:rPr>
      </w:pPr>
    </w:p>
    <w:p w14:paraId="5E0CD109" w14:textId="77777777" w:rsidR="00500AE2" w:rsidRPr="007E3D0B" w:rsidRDefault="00500AE2" w:rsidP="008B69D1">
      <w:pPr>
        <w:pStyle w:val="PargrafodaLista"/>
        <w:numPr>
          <w:ilvl w:val="0"/>
          <w:numId w:val="25"/>
        </w:num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Se os direitos, títulos e valores mobiliários que compõem as carteiras dos fundos de investimentos e os seus emissores deixarem de ser considerados como de baixo risco de crédito, após as aplicações realizadas pela unidade gestora.</w:t>
      </w:r>
    </w:p>
    <w:p w14:paraId="2CBC2E59" w14:textId="77777777" w:rsidR="00B503F2" w:rsidRPr="007E3D0B" w:rsidRDefault="00B503F2" w:rsidP="00B503F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Na obtenção da Certificação Institucional Pró-Gestão, as alterações de limites decorrentes do nível de aderência não serão consideradas desenquadramento, ficando assegurado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o prazo de </w:t>
      </w:r>
      <w:r w:rsidRPr="007E3D0B">
        <w:rPr>
          <w:rFonts w:asciiTheme="minorHAnsi" w:hAnsiTheme="minorHAnsi" w:cstheme="minorHAnsi"/>
          <w:b/>
          <w:bCs/>
          <w:color w:val="000000" w:themeColor="text1"/>
        </w:rPr>
        <w:t>90 (noventa) dias</w:t>
      </w:r>
      <w:r w:rsidRPr="007E3D0B">
        <w:rPr>
          <w:rFonts w:asciiTheme="minorHAnsi" w:hAnsiTheme="minorHAnsi" w:cstheme="minorHAnsi"/>
          <w:color w:val="000000" w:themeColor="text1"/>
        </w:rPr>
        <w:t xml:space="preserve"> para revisão e adequação desta Política aos novos parâmetros.</w:t>
      </w:r>
    </w:p>
    <w:p w14:paraId="4A4ACB46" w14:textId="77777777" w:rsidR="00635488" w:rsidRPr="007E3D0B" w:rsidRDefault="00B503F2" w:rsidP="00B503F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Todos os casos deverão ser registrados em ata, acompanhados de parecer técnico e plano de ação, com comunicação ao Comitê de Investimentos e demais instâncias de </w:t>
      </w:r>
      <w:r w:rsidR="006D7FC6" w:rsidRPr="007E3D0B">
        <w:rPr>
          <w:rFonts w:asciiTheme="minorHAnsi" w:hAnsiTheme="minorHAnsi" w:cstheme="minorHAnsi"/>
          <w:color w:val="000000" w:themeColor="text1"/>
        </w:rPr>
        <w:t>superiores de deliberação</w:t>
      </w:r>
      <w:r w:rsidRPr="007E3D0B">
        <w:rPr>
          <w:rFonts w:asciiTheme="minorHAnsi" w:hAnsiTheme="minorHAnsi" w:cstheme="minorHAnsi"/>
          <w:color w:val="000000" w:themeColor="text1"/>
        </w:rPr>
        <w:t>.</w:t>
      </w:r>
    </w:p>
    <w:p w14:paraId="32650616" w14:textId="77777777" w:rsidR="00B503F2" w:rsidRPr="007E3D0B" w:rsidRDefault="00B503F2" w:rsidP="00B503F2">
      <w:pPr>
        <w:rPr>
          <w:rFonts w:asciiTheme="minorHAnsi" w:hAnsiTheme="minorHAnsi" w:cstheme="minorHAnsi"/>
          <w:color w:val="000000" w:themeColor="text1"/>
        </w:rPr>
      </w:pPr>
    </w:p>
    <w:p w14:paraId="68A742AC" w14:textId="77777777" w:rsidR="00500AE2" w:rsidRPr="007E3D0B" w:rsidRDefault="00F57C97" w:rsidP="00A468C9">
      <w:pPr>
        <w:pStyle w:val="Ttulo2"/>
        <w:rPr>
          <w:rFonts w:asciiTheme="minorHAnsi" w:hAnsiTheme="minorHAnsi" w:cstheme="minorHAnsi"/>
          <w:color w:val="000000" w:themeColor="text1"/>
          <w:sz w:val="22"/>
          <w:szCs w:val="22"/>
        </w:rPr>
      </w:pPr>
      <w:bookmarkStart w:id="48" w:name="_Toc435202745"/>
      <w:bookmarkStart w:id="49" w:name="_Toc490036551"/>
      <w:bookmarkStart w:id="50" w:name="_Toc118105146"/>
      <w:r w:rsidRPr="007E3D0B">
        <w:rPr>
          <w:rFonts w:asciiTheme="minorHAnsi" w:hAnsiTheme="minorHAnsi" w:cstheme="minorHAnsi"/>
          <w:color w:val="000000" w:themeColor="text1"/>
          <w:sz w:val="22"/>
          <w:szCs w:val="22"/>
        </w:rPr>
        <w:t>Vedações</w:t>
      </w:r>
      <w:bookmarkEnd w:id="48"/>
      <w:bookmarkEnd w:id="49"/>
      <w:bookmarkEnd w:id="50"/>
    </w:p>
    <w:p w14:paraId="73B5A1AA" w14:textId="77777777" w:rsidR="001C5A60" w:rsidRPr="007E3D0B" w:rsidRDefault="001C5A60" w:rsidP="001C5A60">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 vedações previstas na Resolução CMN nº 4.963/2021 e na Portaria MTP nº 1.467/2022 aplicam-se a todas as aplicações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diretas e indiretas. Compete ao Gestor dos Recursos e ao Comitê de Investimentos zelar pelo cumprimento dessas restrições.</w:t>
      </w:r>
    </w:p>
    <w:p w14:paraId="1A07E727" w14:textId="77777777" w:rsidR="001C5A60" w:rsidRPr="007E3D0B" w:rsidRDefault="001C5A60" w:rsidP="001C5A60">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 Gestor dos Recursos e o Comitê de Investimento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deverão seguir as vedações estabelecidas na Resolução CMN n° 4.963/2021, ficando adicionalmente vedada a aquisição de:</w:t>
      </w:r>
    </w:p>
    <w:p w14:paraId="3C3B8854" w14:textId="77777777" w:rsidR="00D544D9" w:rsidRPr="007E3D0B" w:rsidRDefault="001C5A60" w:rsidP="008B69D1">
      <w:pPr>
        <w:pStyle w:val="PargrafodaLista"/>
        <w:numPr>
          <w:ilvl w:val="0"/>
          <w:numId w:val="17"/>
        </w:numPr>
        <w:rPr>
          <w:rFonts w:asciiTheme="minorHAnsi" w:hAnsiTheme="minorHAnsi" w:cstheme="minorHAnsi"/>
          <w:bCs/>
          <w:color w:val="000000" w:themeColor="text1"/>
        </w:rPr>
      </w:pPr>
      <w:r w:rsidRPr="007E3D0B">
        <w:rPr>
          <w:rFonts w:asciiTheme="minorHAnsi" w:hAnsiTheme="minorHAnsi" w:cstheme="minorHAnsi"/>
          <w:bCs/>
          <w:color w:val="000000" w:themeColor="text1"/>
        </w:rPr>
        <w:t>Operações compromissadas lastreadas em títulos públicos e</w:t>
      </w:r>
    </w:p>
    <w:p w14:paraId="52E9CB17" w14:textId="77777777" w:rsidR="001C5A60" w:rsidRPr="007E3D0B" w:rsidRDefault="00CA31FA" w:rsidP="008B69D1">
      <w:pPr>
        <w:pStyle w:val="PargrafodaLista"/>
        <w:numPr>
          <w:ilvl w:val="0"/>
          <w:numId w:val="17"/>
        </w:numPr>
        <w:rPr>
          <w:rFonts w:asciiTheme="minorHAnsi" w:hAnsiTheme="minorHAnsi" w:cstheme="minorHAnsi"/>
          <w:bCs/>
          <w:color w:val="000000" w:themeColor="text1"/>
        </w:rPr>
      </w:pPr>
      <w:r w:rsidRPr="007E3D0B">
        <w:rPr>
          <w:rFonts w:asciiTheme="minorHAnsi" w:hAnsiTheme="minorHAnsi" w:cstheme="minorHAnsi"/>
          <w:color w:val="000000" w:themeColor="text1"/>
        </w:rPr>
        <w:t>Aquisição de ativos classificados abaixo do rating mínimo estabelecido nesta Política</w:t>
      </w:r>
      <w:r w:rsidR="001C5A60" w:rsidRPr="007E3D0B">
        <w:rPr>
          <w:rFonts w:asciiTheme="minorHAnsi" w:hAnsiTheme="minorHAnsi" w:cstheme="minorHAnsi"/>
          <w:color w:val="000000" w:themeColor="text1"/>
        </w:rPr>
        <w:t>.</w:t>
      </w:r>
    </w:p>
    <w:p w14:paraId="6E21239E" w14:textId="77777777" w:rsidR="001C5A60" w:rsidRPr="007E3D0B" w:rsidRDefault="001C5A60" w:rsidP="001C5A60">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Quanto a aquisição de Títulos Públicos, conforme disposta na Portaria MTP nº 1.467/2022, fica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vedado de adquirir:</w:t>
      </w:r>
    </w:p>
    <w:p w14:paraId="086064AE" w14:textId="77777777" w:rsidR="00CB05B7" w:rsidRPr="007E3D0B" w:rsidRDefault="001C5A60" w:rsidP="008B69D1">
      <w:pPr>
        <w:pStyle w:val="PargrafodaLista"/>
        <w:numPr>
          <w:ilvl w:val="0"/>
          <w:numId w:val="18"/>
        </w:numPr>
        <w:rPr>
          <w:rFonts w:asciiTheme="minorHAnsi" w:hAnsiTheme="minorHAnsi" w:cstheme="minorHAnsi"/>
          <w:bCs/>
          <w:color w:val="000000" w:themeColor="text1"/>
        </w:rPr>
      </w:pPr>
      <w:r w:rsidRPr="007E3D0B">
        <w:rPr>
          <w:rFonts w:asciiTheme="minorHAnsi" w:hAnsiTheme="minorHAnsi" w:cstheme="minorHAnsi"/>
          <w:bCs/>
          <w:color w:val="000000" w:themeColor="text1"/>
        </w:rPr>
        <w:t>Títulos que não sejam emitidos pelo Tesouro Nacional;</w:t>
      </w:r>
    </w:p>
    <w:p w14:paraId="7503197C" w14:textId="77777777" w:rsidR="00CB05B7" w:rsidRPr="007E3D0B" w:rsidRDefault="001C5A60" w:rsidP="008B69D1">
      <w:pPr>
        <w:pStyle w:val="PargrafodaLista"/>
        <w:numPr>
          <w:ilvl w:val="0"/>
          <w:numId w:val="18"/>
        </w:numPr>
        <w:rPr>
          <w:rFonts w:asciiTheme="minorHAnsi" w:hAnsiTheme="minorHAnsi" w:cstheme="minorHAnsi"/>
          <w:bCs/>
          <w:color w:val="000000" w:themeColor="text1"/>
        </w:rPr>
      </w:pPr>
      <w:r w:rsidRPr="007E3D0B">
        <w:rPr>
          <w:rFonts w:asciiTheme="minorHAnsi" w:hAnsiTheme="minorHAnsi" w:cstheme="minorHAnsi"/>
          <w:bCs/>
          <w:color w:val="000000" w:themeColor="text1"/>
        </w:rPr>
        <w:t>Títulos que não sejam registradas no SELIC; e</w:t>
      </w:r>
    </w:p>
    <w:p w14:paraId="12F5A5AF" w14:textId="77777777" w:rsidR="001C5A60" w:rsidRPr="007E3D0B" w:rsidRDefault="001C5A60" w:rsidP="008B69D1">
      <w:pPr>
        <w:pStyle w:val="PargrafodaLista"/>
        <w:numPr>
          <w:ilvl w:val="0"/>
          <w:numId w:val="18"/>
        </w:numPr>
        <w:rPr>
          <w:rFonts w:asciiTheme="minorHAnsi" w:hAnsiTheme="minorHAnsi" w:cstheme="minorHAnsi"/>
          <w:bCs/>
          <w:color w:val="000000" w:themeColor="text1"/>
        </w:rPr>
      </w:pPr>
      <w:r w:rsidRPr="007E3D0B">
        <w:rPr>
          <w:rFonts w:asciiTheme="minorHAnsi" w:hAnsiTheme="minorHAnsi" w:cstheme="minorHAnsi"/>
          <w:bCs/>
          <w:color w:val="000000" w:themeColor="text1"/>
        </w:rPr>
        <w:t>Títulos que sejam emitidos por Estados, Distrito Federal ou Municípios.</w:t>
      </w:r>
    </w:p>
    <w:p w14:paraId="74E1D2F5" w14:textId="77777777" w:rsidR="00F57C97" w:rsidRPr="007E3D0B" w:rsidRDefault="00F57C97">
      <w:pPr>
        <w:spacing w:before="0" w:after="160" w:line="259" w:lineRule="auto"/>
        <w:jc w:val="left"/>
        <w:rPr>
          <w:rFonts w:asciiTheme="minorHAnsi" w:hAnsiTheme="minorHAnsi" w:cstheme="minorHAnsi"/>
          <w:bCs/>
          <w:color w:val="000000" w:themeColor="text1"/>
        </w:rPr>
      </w:pPr>
      <w:r w:rsidRPr="007E3D0B">
        <w:rPr>
          <w:rFonts w:asciiTheme="minorHAnsi" w:hAnsiTheme="minorHAnsi" w:cstheme="minorHAnsi"/>
          <w:bCs/>
          <w:color w:val="000000" w:themeColor="text1"/>
        </w:rPr>
        <w:br w:type="page"/>
      </w:r>
    </w:p>
    <w:p w14:paraId="1666FD8A" w14:textId="77777777" w:rsidR="00700C52" w:rsidRPr="007E3D0B" w:rsidRDefault="00700C52" w:rsidP="00F57C97">
      <w:pPr>
        <w:pStyle w:val="Ttulo1"/>
        <w:rPr>
          <w:rFonts w:asciiTheme="minorHAnsi" w:hAnsiTheme="minorHAnsi" w:cstheme="minorHAnsi"/>
          <w:color w:val="000000" w:themeColor="text1"/>
          <w:sz w:val="22"/>
          <w:szCs w:val="22"/>
        </w:rPr>
      </w:pPr>
      <w:bookmarkStart w:id="51" w:name="_Toc496794731"/>
      <w:bookmarkStart w:id="52" w:name="_Toc496794732"/>
      <w:bookmarkStart w:id="53" w:name="_Toc496794733"/>
      <w:bookmarkStart w:id="54" w:name="_Toc496794734"/>
      <w:bookmarkStart w:id="55" w:name="_Toc496794735"/>
      <w:bookmarkStart w:id="56" w:name="_Toc496794736"/>
      <w:bookmarkStart w:id="57" w:name="_Toc496794737"/>
      <w:bookmarkStart w:id="58" w:name="_Toc496794738"/>
      <w:bookmarkStart w:id="59" w:name="_Toc496794739"/>
      <w:bookmarkStart w:id="60" w:name="_Toc496794740"/>
      <w:bookmarkStart w:id="61" w:name="_Toc496794741"/>
      <w:bookmarkStart w:id="62" w:name="_Toc496794742"/>
      <w:bookmarkStart w:id="63" w:name="_Toc496794743"/>
      <w:bookmarkStart w:id="64" w:name="_Toc496794744"/>
      <w:bookmarkStart w:id="65" w:name="_Toc496794745"/>
      <w:bookmarkStart w:id="66" w:name="_Toc496794746"/>
      <w:bookmarkStart w:id="67" w:name="_Toc496794747"/>
      <w:bookmarkStart w:id="68" w:name="_Toc496794748"/>
      <w:bookmarkStart w:id="69" w:name="_Toc496794749"/>
      <w:bookmarkStart w:id="70" w:name="_Toc496794750"/>
      <w:bookmarkStart w:id="71" w:name="_Toc496794751"/>
      <w:bookmarkStart w:id="72" w:name="_Toc496794752"/>
      <w:bookmarkStart w:id="73" w:name="_Toc496794753"/>
      <w:bookmarkStart w:id="74" w:name="_Toc496794754"/>
      <w:bookmarkStart w:id="75" w:name="_Toc496794755"/>
      <w:bookmarkStart w:id="76" w:name="_Toc496794756"/>
      <w:bookmarkStart w:id="77" w:name="_Toc496794757"/>
      <w:bookmarkStart w:id="78" w:name="_Toc496794758"/>
      <w:bookmarkStart w:id="79" w:name="_Toc496794759"/>
      <w:bookmarkStart w:id="80" w:name="_Toc496794760"/>
      <w:bookmarkStart w:id="81" w:name="_Toc496794761"/>
      <w:bookmarkStart w:id="82" w:name="_Toc496794762"/>
      <w:bookmarkStart w:id="83" w:name="_Toc496794763"/>
      <w:bookmarkStart w:id="84" w:name="_Toc213399433"/>
      <w:bookmarkStart w:id="85" w:name="_Toc118105147"/>
      <w:bookmarkEnd w:id="28"/>
      <w:bookmarkEnd w:id="2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E3D0B">
        <w:rPr>
          <w:rFonts w:asciiTheme="minorHAnsi" w:hAnsiTheme="minorHAnsi" w:cstheme="minorHAnsi"/>
          <w:color w:val="000000" w:themeColor="text1"/>
          <w:sz w:val="22"/>
          <w:szCs w:val="22"/>
        </w:rPr>
        <w:lastRenderedPageBreak/>
        <w:t>EMPR</w:t>
      </w:r>
      <w:r w:rsidR="00582B7F" w:rsidRPr="007E3D0B">
        <w:rPr>
          <w:rFonts w:asciiTheme="minorHAnsi" w:hAnsiTheme="minorHAnsi" w:cstheme="minorHAnsi"/>
          <w:color w:val="000000" w:themeColor="text1"/>
          <w:sz w:val="22"/>
          <w:szCs w:val="22"/>
        </w:rPr>
        <w:t>É</w:t>
      </w:r>
      <w:r w:rsidRPr="007E3D0B">
        <w:rPr>
          <w:rFonts w:asciiTheme="minorHAnsi" w:hAnsiTheme="minorHAnsi" w:cstheme="minorHAnsi"/>
          <w:color w:val="000000" w:themeColor="text1"/>
          <w:sz w:val="22"/>
          <w:szCs w:val="22"/>
        </w:rPr>
        <w:t>STIMO CONSIGNADO</w:t>
      </w:r>
      <w:bookmarkEnd w:id="84"/>
    </w:p>
    <w:p w14:paraId="0819466B" w14:textId="77777777" w:rsidR="000C40DA" w:rsidRPr="007E3D0B" w:rsidRDefault="00A05B65"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Objetivo</w:t>
      </w:r>
    </w:p>
    <w:p w14:paraId="4CAF1B96" w14:textId="77777777" w:rsidR="00BF0DC3" w:rsidRPr="007E3D0B" w:rsidRDefault="00BF0DC3" w:rsidP="00BF0DC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 a possibilidade de concessão e administração de empréstimo consignado aos segurados em atividade, aposentados e pensionistas ("tomadores")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torna-se necessário estabelecer as políticas, condições, diretrizes, controles e a gestão dos processos que abrangem concessão, administração, operacionalização e cobrança.</w:t>
      </w:r>
    </w:p>
    <w:p w14:paraId="74C2237A" w14:textId="77777777" w:rsidR="00BF0DC3" w:rsidRPr="007E3D0B" w:rsidRDefault="00BF0DC3" w:rsidP="00BF0DC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empréstimo consignado é considerado aplicação financeira para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nos termos da Resolução CMN nº 4.963/2021.</w:t>
      </w:r>
    </w:p>
    <w:p w14:paraId="56D8054B" w14:textId="77777777" w:rsidR="00BF0DC3" w:rsidRPr="007E3D0B" w:rsidRDefault="0055668E" w:rsidP="00BF0DC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Este item integra </w:t>
      </w:r>
      <w:proofErr w:type="spellStart"/>
      <w:r w:rsidRPr="007E3D0B">
        <w:rPr>
          <w:rFonts w:asciiTheme="minorHAnsi" w:hAnsiTheme="minorHAnsi" w:cstheme="minorHAnsi"/>
          <w:color w:val="000000" w:themeColor="text1"/>
        </w:rPr>
        <w:t>esta</w:t>
      </w:r>
      <w:proofErr w:type="spellEnd"/>
      <w:r w:rsidRPr="007E3D0B">
        <w:rPr>
          <w:rFonts w:asciiTheme="minorHAnsi" w:hAnsiTheme="minorHAnsi" w:cstheme="minorHAnsi"/>
          <w:color w:val="000000" w:themeColor="text1"/>
        </w:rPr>
        <w:t xml:space="preserve"> </w:t>
      </w:r>
      <w:r w:rsidRPr="007E3D0B">
        <w:rPr>
          <w:rFonts w:asciiTheme="minorHAnsi" w:hAnsiTheme="minorHAnsi" w:cstheme="minorHAnsi"/>
          <w:b/>
          <w:bCs/>
          <w:color w:val="000000" w:themeColor="text1"/>
        </w:rPr>
        <w:t>“Política de Investimentos como a Política de Crédito e Normas Operacionais”</w:t>
      </w:r>
      <w:r w:rsidRPr="007E3D0B">
        <w:rPr>
          <w:rFonts w:asciiTheme="minorHAnsi" w:hAnsiTheme="minorHAnsi" w:cstheme="minorHAnsi"/>
          <w:color w:val="000000" w:themeColor="text1"/>
        </w:rPr>
        <w:t xml:space="preserve"> exigida pela Portaria MTP nº 1.467/2022 para a operacionalização da modalidade, considerando-se aprovada conjuntamente com esta Política e observada em todas as fases do processo.</w:t>
      </w:r>
    </w:p>
    <w:p w14:paraId="384FDF65" w14:textId="77777777" w:rsidR="00635488" w:rsidRPr="007E3D0B" w:rsidRDefault="00635488" w:rsidP="002C6464">
      <w:pPr>
        <w:rPr>
          <w:rFonts w:asciiTheme="minorHAnsi" w:hAnsiTheme="minorHAnsi" w:cstheme="minorHAnsi"/>
          <w:color w:val="000000" w:themeColor="text1"/>
        </w:rPr>
      </w:pPr>
    </w:p>
    <w:p w14:paraId="6B39F4AA" w14:textId="77777777" w:rsidR="0055668E" w:rsidRPr="007E3D0B" w:rsidRDefault="000F2C0C"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Abrangência e Público-Alvo</w:t>
      </w:r>
    </w:p>
    <w:p w14:paraId="296C08D5" w14:textId="77777777" w:rsidR="00FA1E8E" w:rsidRPr="007E3D0B" w:rsidRDefault="00FA1E8E" w:rsidP="00FA1E8E">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Esta </w:t>
      </w:r>
      <w:r w:rsidR="00EF4AE8"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Política de Crédito e Normas Operacionais</w:t>
      </w:r>
      <w:r w:rsidR="00EF4AE8"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 xml:space="preserve"> aplica-se às operações de empréstimo consignado concedidas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aos servidores efetivos ativos, aposentados e pensionistas vinculados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conforme previsão nos regulamentos e normas internas.</w:t>
      </w:r>
    </w:p>
    <w:p w14:paraId="309B9C96" w14:textId="77777777" w:rsidR="00FA1E8E" w:rsidRPr="007E3D0B" w:rsidRDefault="00FA1E8E" w:rsidP="00FA1E8E">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Estão abrangidos os planos administrados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que prevejam a possibilidade de concessão de crédito consignado, observados os limites e diretrizes desta Política e da Resolução CMN nº 4.963/2021. Operações com terceiros não vinculados ao </w:t>
      </w:r>
      <w:r w:rsidR="001F78EA" w:rsidRPr="007E3D0B">
        <w:rPr>
          <w:rFonts w:asciiTheme="minorHAnsi" w:hAnsiTheme="minorHAnsi" w:cstheme="minorHAnsi"/>
          <w:color w:val="000000" w:themeColor="text1"/>
        </w:rPr>
        <w:t xml:space="preserve">Ente Federativo e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não são admitidas.</w:t>
      </w:r>
    </w:p>
    <w:p w14:paraId="5CD2EBB9" w14:textId="77777777" w:rsidR="00FA1E8E" w:rsidRPr="007E3D0B" w:rsidRDefault="00FA1E8E" w:rsidP="00FA1E8E">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 formalização das operações ocorrerá diretamente com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com desconto em folha de pagamento pelo órgão/entidade responsável, nos termos de convênio que discipline a verificação de margem consignável, os fluxos de repasse e a conciliação.</w:t>
      </w:r>
    </w:p>
    <w:p w14:paraId="22AA121E" w14:textId="77777777" w:rsidR="00FA1E8E" w:rsidRPr="007E3D0B" w:rsidRDefault="00FA1E8E" w:rsidP="00FA1E8E">
      <w:pPr>
        <w:rPr>
          <w:rFonts w:asciiTheme="minorHAnsi" w:hAnsiTheme="minorHAnsi" w:cstheme="minorHAnsi"/>
          <w:color w:val="000000" w:themeColor="text1"/>
        </w:rPr>
      </w:pPr>
      <w:r w:rsidRPr="007E3D0B">
        <w:rPr>
          <w:rFonts w:asciiTheme="minorHAnsi" w:hAnsiTheme="minorHAnsi" w:cstheme="minorHAnsi"/>
          <w:color w:val="000000" w:themeColor="text1"/>
        </w:rPr>
        <w:t>Para fins de elegibilidade, o tomador deve possuir vínculo ou benefício ativo no ente pagador, margem consignável disponível e ausência de impedimentos previstos nesta Política e</w:t>
      </w:r>
      <w:r w:rsidR="00177D74" w:rsidRPr="007E3D0B">
        <w:rPr>
          <w:rFonts w:asciiTheme="minorHAnsi" w:hAnsiTheme="minorHAnsi" w:cstheme="minorHAnsi"/>
          <w:color w:val="000000" w:themeColor="text1"/>
        </w:rPr>
        <w:t>/ou</w:t>
      </w:r>
      <w:r w:rsidRPr="007E3D0B">
        <w:rPr>
          <w:rFonts w:asciiTheme="minorHAnsi" w:hAnsiTheme="minorHAnsi" w:cstheme="minorHAnsi"/>
          <w:color w:val="000000" w:themeColor="text1"/>
        </w:rPr>
        <w:t xml:space="preserve"> em normas internas. É vedada a cessão do crédito a terceiros e a constituição de coobrigados.</w:t>
      </w:r>
    </w:p>
    <w:p w14:paraId="7185D0AD" w14:textId="77777777" w:rsidR="0055668E" w:rsidRPr="007E3D0B" w:rsidRDefault="00FA1E8E" w:rsidP="00FA1E8E">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operações observarão os limites desta Política e deverão preservar níveis adequados de liquidez e solvência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O tratamento de dados pessoais seguirá as diretrizes internas de segurança da informação e a legislação aplicável.</w:t>
      </w:r>
    </w:p>
    <w:p w14:paraId="35A37D80" w14:textId="77777777" w:rsidR="000F2C0C" w:rsidRPr="007E3D0B" w:rsidRDefault="000F2C0C" w:rsidP="002C6464">
      <w:pPr>
        <w:rPr>
          <w:rFonts w:asciiTheme="minorHAnsi" w:hAnsiTheme="minorHAnsi" w:cstheme="minorHAnsi"/>
          <w:color w:val="000000" w:themeColor="text1"/>
        </w:rPr>
      </w:pPr>
    </w:p>
    <w:p w14:paraId="5C126CB1" w14:textId="77777777" w:rsidR="00885DA4" w:rsidRPr="007E3D0B" w:rsidRDefault="00FC643C"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lastRenderedPageBreak/>
        <w:t xml:space="preserve">Critérios de </w:t>
      </w:r>
      <w:r w:rsidR="00885DA4" w:rsidRPr="007E3D0B">
        <w:rPr>
          <w:rFonts w:asciiTheme="minorHAnsi" w:hAnsiTheme="minorHAnsi" w:cstheme="minorHAnsi"/>
          <w:color w:val="000000" w:themeColor="text1"/>
          <w:sz w:val="22"/>
          <w:szCs w:val="22"/>
        </w:rPr>
        <w:t>Elegibi</w:t>
      </w:r>
      <w:r w:rsidR="007940C4" w:rsidRPr="007E3D0B">
        <w:rPr>
          <w:rFonts w:asciiTheme="minorHAnsi" w:hAnsiTheme="minorHAnsi" w:cstheme="minorHAnsi"/>
          <w:color w:val="000000" w:themeColor="text1"/>
          <w:sz w:val="22"/>
          <w:szCs w:val="22"/>
        </w:rPr>
        <w:t>lidade</w:t>
      </w:r>
    </w:p>
    <w:p w14:paraId="49E0B04C" w14:textId="77777777" w:rsidR="00F50FE7" w:rsidRPr="007E3D0B" w:rsidRDefault="00250D70" w:rsidP="00885DA4">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Poderão contratar empréstimo consignado junto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os servidores efetivos ativos, aposentados e pensionistas dos planos de benefícios administrados pelo próprio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("tomadores"). A elegibilidade observará as características biométricas, funcionais, remuneratórias e a natureza do benefício, a partir das quais serão estabelecidos os requisitos e condições de concessão</w:t>
      </w:r>
    </w:p>
    <w:p w14:paraId="4BD81FF6" w14:textId="77777777" w:rsidR="00F50FE7" w:rsidRPr="007E3D0B" w:rsidRDefault="008B38E8" w:rsidP="00885DA4">
      <w:pPr>
        <w:rPr>
          <w:rFonts w:asciiTheme="minorHAnsi" w:hAnsiTheme="minorHAnsi" w:cstheme="minorHAnsi"/>
          <w:color w:val="000000" w:themeColor="text1"/>
        </w:rPr>
      </w:pPr>
      <w:r w:rsidRPr="007E3D0B">
        <w:rPr>
          <w:rFonts w:asciiTheme="minorHAnsi" w:hAnsiTheme="minorHAnsi" w:cstheme="minorHAnsi"/>
          <w:color w:val="000000" w:themeColor="text1"/>
        </w:rPr>
        <w:t>O tomador será submetido a avaliação prévia, na qual serão estimadas a data provável de aposentadoria e as regras de cálculo do futuro benefício. Quanto aos dependentes, somente serão elegíveis ao empréstimo consignado quando em gozo de pensão por morte.</w:t>
      </w:r>
    </w:p>
    <w:p w14:paraId="3D4EFDBA" w14:textId="77777777" w:rsidR="00AE3A81" w:rsidRPr="007E3D0B" w:rsidRDefault="00AE3A81" w:rsidP="00AE3A81">
      <w:pPr>
        <w:rPr>
          <w:rFonts w:asciiTheme="minorHAnsi" w:hAnsiTheme="minorHAnsi" w:cstheme="minorHAnsi"/>
          <w:color w:val="000000" w:themeColor="text1"/>
        </w:rPr>
      </w:pPr>
      <w:r w:rsidRPr="007E3D0B">
        <w:rPr>
          <w:rFonts w:asciiTheme="minorHAnsi" w:hAnsiTheme="minorHAnsi" w:cstheme="minorHAnsi"/>
          <w:color w:val="000000" w:themeColor="text1"/>
        </w:rPr>
        <w:t>Não poderão contratar operações de empréstimo os tomadores que, no momento da solicitação:</w:t>
      </w:r>
    </w:p>
    <w:p w14:paraId="1A68AEDA" w14:textId="77777777" w:rsidR="00792C60" w:rsidRPr="007E3D0B" w:rsidRDefault="00885DA4" w:rsidP="008B69D1">
      <w:pPr>
        <w:pStyle w:val="PargrafodaLista"/>
        <w:numPr>
          <w:ilvl w:val="0"/>
          <w:numId w:val="19"/>
        </w:numPr>
        <w:rPr>
          <w:rFonts w:asciiTheme="minorHAnsi" w:hAnsiTheme="minorHAnsi" w:cstheme="minorHAnsi"/>
          <w:color w:val="000000" w:themeColor="text1"/>
        </w:rPr>
      </w:pPr>
      <w:r w:rsidRPr="007E3D0B">
        <w:rPr>
          <w:rFonts w:asciiTheme="minorHAnsi" w:hAnsiTheme="minorHAnsi" w:cstheme="minorHAnsi"/>
          <w:color w:val="000000" w:themeColor="text1"/>
        </w:rPr>
        <w:t>não tenham disponibilidade de margem consignável para a contratação;</w:t>
      </w:r>
    </w:p>
    <w:p w14:paraId="3D089259" w14:textId="77777777" w:rsidR="00792C60" w:rsidRPr="007E3D0B" w:rsidRDefault="00792C60" w:rsidP="00792C60">
      <w:pPr>
        <w:pStyle w:val="PargrafodaLista"/>
        <w:rPr>
          <w:rFonts w:asciiTheme="minorHAnsi" w:hAnsiTheme="minorHAnsi" w:cstheme="minorHAnsi"/>
          <w:color w:val="000000" w:themeColor="text1"/>
        </w:rPr>
      </w:pPr>
    </w:p>
    <w:p w14:paraId="0CE3402B" w14:textId="77777777" w:rsidR="00BF6043" w:rsidRPr="007E3D0B" w:rsidRDefault="00792C60" w:rsidP="008B69D1">
      <w:pPr>
        <w:pStyle w:val="PargrafodaLista"/>
        <w:numPr>
          <w:ilvl w:val="0"/>
          <w:numId w:val="19"/>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tenham causado inadimplência em operações de empréstimo consignado anteriormente tomadas perante o </w:t>
      </w:r>
      <w:r w:rsidRPr="007E3D0B">
        <w:rPr>
          <w:rFonts w:asciiTheme="minorHAnsi" w:hAnsiTheme="minorHAnsi" w:cstheme="minorHAnsi"/>
          <w:b/>
          <w:bCs/>
          <w:color w:val="000000" w:themeColor="text1"/>
        </w:rPr>
        <w:t>INSTITUTO DE PREVIDÊNCIA MUNICIPAL DE SANTO ANTÔNIO DE POSSE - IPREM POSSE</w:t>
      </w:r>
      <w:r w:rsidR="00885DA4" w:rsidRPr="007E3D0B">
        <w:rPr>
          <w:rFonts w:asciiTheme="minorHAnsi" w:hAnsiTheme="minorHAnsi" w:cstheme="minorHAnsi"/>
          <w:color w:val="000000" w:themeColor="text1"/>
        </w:rPr>
        <w:t>;</w:t>
      </w:r>
    </w:p>
    <w:p w14:paraId="05217150" w14:textId="77777777" w:rsidR="00BF6043" w:rsidRPr="007E3D0B" w:rsidRDefault="00BF6043" w:rsidP="00BF6043">
      <w:pPr>
        <w:pStyle w:val="PargrafodaLista"/>
        <w:rPr>
          <w:rFonts w:asciiTheme="minorHAnsi" w:hAnsiTheme="minorHAnsi" w:cstheme="minorHAnsi"/>
          <w:color w:val="000000" w:themeColor="text1"/>
        </w:rPr>
      </w:pPr>
    </w:p>
    <w:p w14:paraId="6F04CCAC" w14:textId="77777777" w:rsidR="00691D68" w:rsidRPr="007E3D0B" w:rsidRDefault="00BF6043" w:rsidP="008B69D1">
      <w:pPr>
        <w:pStyle w:val="PargrafodaLista"/>
        <w:numPr>
          <w:ilvl w:val="0"/>
          <w:numId w:val="19"/>
        </w:numPr>
        <w:rPr>
          <w:rFonts w:asciiTheme="minorHAnsi" w:hAnsiTheme="minorHAnsi" w:cstheme="minorHAnsi"/>
          <w:color w:val="000000" w:themeColor="text1"/>
        </w:rPr>
      </w:pPr>
      <w:r w:rsidRPr="007E3D0B">
        <w:rPr>
          <w:rFonts w:asciiTheme="minorHAnsi" w:hAnsiTheme="minorHAnsi" w:cstheme="minorHAnsi"/>
          <w:color w:val="000000" w:themeColor="text1"/>
        </w:rPr>
        <w:t>tenham perdido o vínculo com o Ente Federativo ou tenha sido cessado o benefício</w:t>
      </w:r>
      <w:r w:rsidR="00A060EC" w:rsidRPr="007E3D0B">
        <w:rPr>
          <w:rFonts w:asciiTheme="minorHAnsi" w:hAnsiTheme="minorHAnsi" w:cstheme="minorHAnsi"/>
          <w:color w:val="000000" w:themeColor="text1"/>
        </w:rPr>
        <w:t>;</w:t>
      </w:r>
    </w:p>
    <w:p w14:paraId="262CCEAF" w14:textId="77777777" w:rsidR="00A060EC" w:rsidRPr="007E3D0B" w:rsidRDefault="00A060EC" w:rsidP="00A060EC">
      <w:pPr>
        <w:pStyle w:val="PargrafodaLista"/>
        <w:rPr>
          <w:rFonts w:asciiTheme="minorHAnsi" w:hAnsiTheme="minorHAnsi" w:cstheme="minorHAnsi"/>
          <w:color w:val="000000" w:themeColor="text1"/>
        </w:rPr>
      </w:pPr>
    </w:p>
    <w:p w14:paraId="2001CE24" w14:textId="77777777" w:rsidR="00691D68" w:rsidRPr="007E3D0B" w:rsidRDefault="00691D68" w:rsidP="008B69D1">
      <w:pPr>
        <w:pStyle w:val="PargrafodaLista"/>
        <w:numPr>
          <w:ilvl w:val="0"/>
          <w:numId w:val="19"/>
        </w:numPr>
        <w:rPr>
          <w:rFonts w:asciiTheme="minorHAnsi" w:hAnsiTheme="minorHAnsi" w:cstheme="minorHAnsi"/>
          <w:color w:val="000000" w:themeColor="text1"/>
        </w:rPr>
      </w:pPr>
      <w:r w:rsidRPr="007E3D0B">
        <w:rPr>
          <w:rFonts w:asciiTheme="minorHAnsi" w:hAnsiTheme="minorHAnsi" w:cstheme="minorHAnsi"/>
          <w:color w:val="000000" w:themeColor="text1"/>
        </w:rPr>
        <w:t>estejam em situação em que a remuneração/provento dependa do Ente Federativo (ou de suas transferências financeiras mensais) quando o Município não for classificado como “A” na Capacidade de Pagamento – CAPAG divulgada pela Secretaria do Tesouro Nacional – STN.</w:t>
      </w:r>
    </w:p>
    <w:p w14:paraId="004E0842" w14:textId="77777777" w:rsidR="00A060EC" w:rsidRPr="007E3D0B" w:rsidRDefault="00A060EC" w:rsidP="00A060EC">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Nos casos em que o Município possua classificação CAPAG “B”, “C” ou “D”, os empréstimos somente poderão ser concedidos a aposentados e pensionistas vinculados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4C9F82E6" w14:textId="77777777" w:rsidR="00A060EC" w:rsidRPr="007E3D0B" w:rsidRDefault="00A060EC" w:rsidP="00A060EC">
      <w:pPr>
        <w:rPr>
          <w:rFonts w:asciiTheme="minorHAnsi" w:hAnsiTheme="minorHAnsi" w:cstheme="minorHAnsi"/>
          <w:color w:val="000000" w:themeColor="text1"/>
        </w:rPr>
      </w:pPr>
      <w:r w:rsidRPr="007E3D0B">
        <w:rPr>
          <w:rFonts w:asciiTheme="minorHAnsi" w:hAnsiTheme="minorHAnsi" w:cstheme="minorHAnsi"/>
          <w:color w:val="000000" w:themeColor="text1"/>
        </w:rPr>
        <w:t>Quando houver Segregação da Massa, somente os aposentados e pensionistas do Fundo em Capitalização terão acesso ao empréstimo consignado.</w:t>
      </w:r>
    </w:p>
    <w:p w14:paraId="1E6D90DE" w14:textId="77777777" w:rsidR="0055668E" w:rsidRPr="007E3D0B" w:rsidRDefault="00A060EC" w:rsidP="00A060EC">
      <w:pPr>
        <w:rPr>
          <w:rFonts w:asciiTheme="minorHAnsi" w:hAnsiTheme="minorHAnsi" w:cstheme="minorHAnsi"/>
          <w:color w:val="000000" w:themeColor="text1"/>
        </w:rPr>
      </w:pPr>
      <w:r w:rsidRPr="007E3D0B">
        <w:rPr>
          <w:rFonts w:asciiTheme="minorHAnsi" w:hAnsiTheme="minorHAnsi" w:cstheme="minorHAnsi"/>
          <w:color w:val="000000" w:themeColor="text1"/>
        </w:rPr>
        <w:t>As demais condições de elegibilidade previstas nesta Política — tais como margem consignável, capacidade de pagamento, idade e prazo, regularidade cadastral e consentimento/ciência das condições — permanecem aplicáveis e devem ser verificadas previamente à contratação, com a respectiva guarda documental.</w:t>
      </w:r>
    </w:p>
    <w:p w14:paraId="6C5B584E" w14:textId="77777777" w:rsidR="00A060EC" w:rsidRPr="007E3D0B" w:rsidRDefault="00A060EC" w:rsidP="00A060EC">
      <w:pPr>
        <w:rPr>
          <w:rFonts w:asciiTheme="minorHAnsi" w:hAnsiTheme="minorHAnsi" w:cstheme="minorHAnsi"/>
          <w:color w:val="000000" w:themeColor="text1"/>
        </w:rPr>
      </w:pPr>
    </w:p>
    <w:p w14:paraId="0757A95E" w14:textId="77777777" w:rsidR="005B3184" w:rsidRPr="007E3D0B" w:rsidRDefault="005B3184"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Margem</w:t>
      </w:r>
      <w:r w:rsidR="00B4367C" w:rsidRPr="007E3D0B">
        <w:rPr>
          <w:rFonts w:asciiTheme="minorHAnsi" w:hAnsiTheme="minorHAnsi" w:cstheme="minorHAnsi"/>
          <w:color w:val="000000" w:themeColor="text1"/>
          <w:sz w:val="22"/>
          <w:szCs w:val="22"/>
        </w:rPr>
        <w:t xml:space="preserve"> Consignável e Limite por Tomador</w:t>
      </w:r>
    </w:p>
    <w:p w14:paraId="49092688" w14:textId="77777777" w:rsidR="003800CD" w:rsidRPr="007E3D0B" w:rsidRDefault="003800CD" w:rsidP="003800CD">
      <w:pPr>
        <w:rPr>
          <w:rFonts w:asciiTheme="minorHAnsi" w:hAnsiTheme="minorHAnsi" w:cstheme="minorHAnsi"/>
          <w:color w:val="000000" w:themeColor="text1"/>
        </w:rPr>
      </w:pPr>
      <w:r w:rsidRPr="007E3D0B">
        <w:rPr>
          <w:rFonts w:asciiTheme="minorHAnsi" w:hAnsiTheme="minorHAnsi" w:cstheme="minorHAnsi"/>
          <w:color w:val="000000" w:themeColor="text1"/>
        </w:rPr>
        <w:t>Para efeito de fixação da margem consignável, serão observadas as disposições legais vigentes e suas eventuais atualizações. Para a administração da folha de pagamento dos tomadores, poderá ser emitido “regulamento” de suporte operacional.</w:t>
      </w:r>
    </w:p>
    <w:p w14:paraId="7F180FC3" w14:textId="77777777" w:rsidR="00F1366B" w:rsidRPr="007E3D0B" w:rsidRDefault="003800CD" w:rsidP="008B69D1">
      <w:pPr>
        <w:pStyle w:val="PargrafodaLista"/>
        <w:numPr>
          <w:ilvl w:val="0"/>
          <w:numId w:val="20"/>
        </w:numPr>
        <w:rPr>
          <w:rFonts w:asciiTheme="minorHAnsi" w:hAnsiTheme="minorHAnsi" w:cstheme="minorHAnsi"/>
          <w:color w:val="000000" w:themeColor="text1"/>
        </w:rPr>
      </w:pPr>
      <w:r w:rsidRPr="007E3D0B">
        <w:rPr>
          <w:rFonts w:asciiTheme="minorHAnsi" w:hAnsiTheme="minorHAnsi" w:cstheme="minorHAnsi"/>
          <w:b/>
          <w:bCs/>
          <w:color w:val="000000" w:themeColor="text1"/>
        </w:rPr>
        <w:t>Servidor ativo:</w:t>
      </w:r>
      <w:r w:rsidRPr="007E3D0B">
        <w:rPr>
          <w:rFonts w:asciiTheme="minorHAnsi" w:hAnsiTheme="minorHAnsi" w:cstheme="minorHAnsi"/>
          <w:color w:val="000000" w:themeColor="text1"/>
        </w:rPr>
        <w:t xml:space="preserve"> é obrigatória a apresentação, pelo tomador, do comprovante de margem consignável disponível fornecido pelo Ente Federativo (órgão/entidade pagadora), que será validado previamente</w:t>
      </w:r>
      <w:r w:rsidR="003B7101" w:rsidRPr="007E3D0B">
        <w:rPr>
          <w:rFonts w:asciiTheme="minorHAnsi" w:hAnsiTheme="minorHAnsi" w:cstheme="minorHAnsi"/>
          <w:color w:val="000000" w:themeColor="text1"/>
        </w:rPr>
        <w:t xml:space="preserve"> mediante análise</w:t>
      </w:r>
      <w:r w:rsidRPr="007E3D0B">
        <w:rPr>
          <w:rFonts w:asciiTheme="minorHAnsi" w:hAnsiTheme="minorHAnsi" w:cstheme="minorHAnsi"/>
          <w:color w:val="000000" w:themeColor="text1"/>
        </w:rPr>
        <w:t>.</w:t>
      </w:r>
    </w:p>
    <w:p w14:paraId="59219C4E" w14:textId="77777777" w:rsidR="00F1366B" w:rsidRPr="007E3D0B" w:rsidRDefault="00F1366B" w:rsidP="00F1366B">
      <w:pPr>
        <w:pStyle w:val="PargrafodaLista"/>
        <w:rPr>
          <w:rFonts w:asciiTheme="minorHAnsi" w:hAnsiTheme="minorHAnsi" w:cstheme="minorHAnsi"/>
          <w:color w:val="000000" w:themeColor="text1"/>
        </w:rPr>
      </w:pPr>
    </w:p>
    <w:p w14:paraId="79764EE6" w14:textId="4711545A" w:rsidR="00B4367C" w:rsidRPr="007E3D0B" w:rsidRDefault="003800CD" w:rsidP="008B69D1">
      <w:pPr>
        <w:pStyle w:val="PargrafodaLista"/>
        <w:numPr>
          <w:ilvl w:val="0"/>
          <w:numId w:val="20"/>
        </w:numPr>
        <w:rPr>
          <w:rFonts w:asciiTheme="minorHAnsi" w:hAnsiTheme="minorHAnsi" w:cstheme="minorHAnsi"/>
          <w:color w:val="000000" w:themeColor="text1"/>
        </w:rPr>
      </w:pPr>
      <w:r w:rsidRPr="007E3D0B">
        <w:rPr>
          <w:rFonts w:asciiTheme="minorHAnsi" w:hAnsiTheme="minorHAnsi" w:cstheme="minorHAnsi"/>
          <w:b/>
          <w:bCs/>
          <w:color w:val="000000" w:themeColor="text1"/>
        </w:rPr>
        <w:t>Aposentados e pensionistas:</w:t>
      </w:r>
      <w:r w:rsidRPr="007E3D0B">
        <w:rPr>
          <w:rFonts w:asciiTheme="minorHAnsi" w:hAnsiTheme="minorHAnsi" w:cstheme="minorHAnsi"/>
          <w:color w:val="000000" w:themeColor="text1"/>
        </w:rPr>
        <w:t xml:space="preserve"> a margem consignável corresponderá a 3</w:t>
      </w:r>
      <w:r w:rsidR="003D53E2">
        <w:rPr>
          <w:rFonts w:asciiTheme="minorHAnsi" w:hAnsiTheme="minorHAnsi" w:cstheme="minorHAnsi"/>
          <w:color w:val="000000" w:themeColor="text1"/>
        </w:rPr>
        <w:t>0</w:t>
      </w:r>
      <w:r w:rsidRPr="007E3D0B">
        <w:rPr>
          <w:rFonts w:asciiTheme="minorHAnsi" w:hAnsiTheme="minorHAnsi" w:cstheme="minorHAnsi"/>
          <w:color w:val="000000" w:themeColor="text1"/>
        </w:rPr>
        <w:t xml:space="preserve">% (trinta por cento) do benefício mensal líquido pago pelo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4ABDC357" w14:textId="77777777" w:rsidR="00B4367C" w:rsidRPr="007E3D0B" w:rsidRDefault="00CA0074" w:rsidP="005B3184">
      <w:pPr>
        <w:rPr>
          <w:rFonts w:asciiTheme="minorHAnsi" w:hAnsiTheme="minorHAnsi" w:cstheme="minorHAnsi"/>
          <w:color w:val="000000" w:themeColor="text1"/>
        </w:rPr>
      </w:pPr>
      <w:r w:rsidRPr="007E3D0B">
        <w:rPr>
          <w:rFonts w:asciiTheme="minorHAnsi" w:hAnsiTheme="minorHAnsi" w:cstheme="minorHAnsi"/>
          <w:color w:val="000000" w:themeColor="text1"/>
        </w:rPr>
        <w:t>A base de cálculo considera a remuneração/benefício líquido, após os descontos legais obrigatórios, sendo certo que verbas eventuais e transitórias, sem caráter permanente, não integram a base. A validação da margem será documentada no processo, com memória de cálculo e evidência fornecida pelo órgão/entidade pagadora.</w:t>
      </w:r>
    </w:p>
    <w:p w14:paraId="6CFBCF1F" w14:textId="77777777" w:rsidR="005B3184" w:rsidRPr="007E3D0B" w:rsidRDefault="005B3184" w:rsidP="005B3184">
      <w:pPr>
        <w:jc w:val="center"/>
        <w:rPr>
          <w:rFonts w:asciiTheme="minorHAnsi" w:hAnsiTheme="minorHAnsi" w:cstheme="minorHAnsi"/>
          <w:b/>
          <w:bCs/>
          <w:color w:val="000000" w:themeColor="text1"/>
        </w:rPr>
      </w:pPr>
      <w:r w:rsidRPr="007E3D0B">
        <w:rPr>
          <w:rFonts w:asciiTheme="minorHAnsi" w:hAnsiTheme="minorHAnsi" w:cstheme="minorHAnsi"/>
          <w:b/>
          <w:bCs/>
          <w:color w:val="000000" w:themeColor="text1"/>
        </w:rPr>
        <w:t>Tabela Informativa</w:t>
      </w:r>
    </w:p>
    <w:tbl>
      <w:tblPr>
        <w:tblStyle w:val="TabeladeGrade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E3D0B" w:rsidRPr="007E3D0B" w14:paraId="33032788" w14:textId="77777777" w:rsidTr="00953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none" w:sz="0" w:space="0" w:color="auto"/>
              <w:left w:val="none" w:sz="0" w:space="0" w:color="auto"/>
              <w:bottom w:val="none" w:sz="0" w:space="0" w:color="auto"/>
              <w:right w:val="none" w:sz="0" w:space="0" w:color="auto"/>
            </w:tcBorders>
            <w:shd w:val="clear" w:color="auto" w:fill="auto"/>
          </w:tcPr>
          <w:p w14:paraId="1345D565" w14:textId="77777777" w:rsidR="005B3184" w:rsidRPr="007E3D0B" w:rsidRDefault="005B3184" w:rsidP="00D1423F">
            <w:pPr>
              <w:spacing w:before="0" w:after="0"/>
              <w:jc w:val="center"/>
              <w:rPr>
                <w:rFonts w:asciiTheme="minorHAnsi" w:hAnsiTheme="minorHAnsi" w:cstheme="minorHAnsi"/>
                <w:color w:val="000000" w:themeColor="text1"/>
              </w:rPr>
            </w:pPr>
            <w:r w:rsidRPr="007E3D0B">
              <w:rPr>
                <w:rFonts w:asciiTheme="minorHAnsi" w:hAnsiTheme="minorHAnsi" w:cstheme="minorHAnsi"/>
                <w:color w:val="000000" w:themeColor="text1"/>
              </w:rPr>
              <w:t>Informações</w:t>
            </w:r>
          </w:p>
        </w:tc>
        <w:tc>
          <w:tcPr>
            <w:tcW w:w="2500" w:type="pct"/>
            <w:tcBorders>
              <w:top w:val="none" w:sz="0" w:space="0" w:color="auto"/>
              <w:left w:val="none" w:sz="0" w:space="0" w:color="auto"/>
              <w:bottom w:val="none" w:sz="0" w:space="0" w:color="auto"/>
              <w:right w:val="none" w:sz="0" w:space="0" w:color="auto"/>
            </w:tcBorders>
            <w:shd w:val="clear" w:color="auto" w:fill="auto"/>
          </w:tcPr>
          <w:p w14:paraId="7918445A" w14:textId="77777777" w:rsidR="005B3184" w:rsidRPr="007E3D0B" w:rsidRDefault="005B3184" w:rsidP="00D14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color w:val="000000" w:themeColor="text1"/>
              </w:rPr>
              <w:t>Critérios</w:t>
            </w:r>
          </w:p>
        </w:tc>
      </w:tr>
      <w:tr w:rsidR="007E3D0B" w:rsidRPr="007E3D0B" w14:paraId="294C8A88" w14:textId="77777777" w:rsidTr="00953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B10698B" w14:textId="77777777" w:rsidR="005B3184" w:rsidRPr="007E3D0B" w:rsidRDefault="005B3184" w:rsidP="00D1423F">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Montante Disponível (%):</w:t>
            </w:r>
          </w:p>
        </w:tc>
        <w:tc>
          <w:tcPr>
            <w:tcW w:w="2500" w:type="pct"/>
            <w:shd w:val="clear" w:color="auto" w:fill="auto"/>
          </w:tcPr>
          <w:p w14:paraId="5FADCADE" w14:textId="77777777" w:rsidR="005B3184" w:rsidRPr="007E3D0B" w:rsidRDefault="005B3184" w:rsidP="00D1423F">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color w:val="000000" w:themeColor="text1"/>
              </w:rPr>
              <w:t>5% ou 10% do PL</w:t>
            </w:r>
          </w:p>
        </w:tc>
      </w:tr>
      <w:tr w:rsidR="007E3D0B" w:rsidRPr="007E3D0B" w14:paraId="66066149" w14:textId="77777777" w:rsidTr="0095394F">
        <w:tc>
          <w:tcPr>
            <w:cnfStyle w:val="001000000000" w:firstRow="0" w:lastRow="0" w:firstColumn="1" w:lastColumn="0" w:oddVBand="0" w:evenVBand="0" w:oddHBand="0" w:evenHBand="0" w:firstRowFirstColumn="0" w:firstRowLastColumn="0" w:lastRowFirstColumn="0" w:lastRowLastColumn="0"/>
            <w:tcW w:w="2500" w:type="pct"/>
          </w:tcPr>
          <w:p w14:paraId="786B3BC0" w14:textId="77777777" w:rsidR="005B3184" w:rsidRPr="007E3D0B" w:rsidRDefault="005B3184" w:rsidP="00D1423F">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Margem Geral (%):</w:t>
            </w:r>
          </w:p>
        </w:tc>
        <w:tc>
          <w:tcPr>
            <w:tcW w:w="2500" w:type="pct"/>
          </w:tcPr>
          <w:p w14:paraId="44E0255E" w14:textId="77777777" w:rsidR="005B3184" w:rsidRPr="007E3D0B" w:rsidRDefault="005B3184" w:rsidP="00D1423F">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color w:val="000000" w:themeColor="text1"/>
              </w:rPr>
              <w:t xml:space="preserve">35% da </w:t>
            </w:r>
            <w:r w:rsidR="009449DA" w:rsidRPr="007E3D0B">
              <w:rPr>
                <w:rFonts w:asciiTheme="minorHAnsi" w:hAnsiTheme="minorHAnsi" w:cstheme="minorHAnsi"/>
                <w:color w:val="000000" w:themeColor="text1"/>
              </w:rPr>
              <w:t>folha/benefício líquido</w:t>
            </w:r>
          </w:p>
        </w:tc>
      </w:tr>
      <w:tr w:rsidR="007E3D0B" w:rsidRPr="007E3D0B" w14:paraId="29CB095B" w14:textId="77777777" w:rsidTr="009539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DCF1B11" w14:textId="77777777" w:rsidR="005B3184" w:rsidRPr="007E3D0B" w:rsidRDefault="005B3184" w:rsidP="00D1423F">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Prazo Máximo de Concessão (meses):</w:t>
            </w:r>
          </w:p>
        </w:tc>
        <w:tc>
          <w:tcPr>
            <w:tcW w:w="2500" w:type="pct"/>
            <w:shd w:val="clear" w:color="auto" w:fill="auto"/>
          </w:tcPr>
          <w:p w14:paraId="2D4E2415" w14:textId="77777777" w:rsidR="005B3184" w:rsidRPr="007E3D0B" w:rsidRDefault="005B3184" w:rsidP="00D1423F">
            <w:p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color w:val="000000" w:themeColor="text1"/>
              </w:rPr>
              <w:t>84 meses (teto do INSS)</w:t>
            </w:r>
          </w:p>
        </w:tc>
      </w:tr>
      <w:tr w:rsidR="007E3D0B" w:rsidRPr="007E3D0B" w14:paraId="3D0411B9" w14:textId="77777777" w:rsidTr="0095394F">
        <w:tc>
          <w:tcPr>
            <w:cnfStyle w:val="001000000000" w:firstRow="0" w:lastRow="0" w:firstColumn="1" w:lastColumn="0" w:oddVBand="0" w:evenVBand="0" w:oddHBand="0" w:evenHBand="0" w:firstRowFirstColumn="0" w:firstRowLastColumn="0" w:lastRowFirstColumn="0" w:lastRowLastColumn="0"/>
            <w:tcW w:w="2500" w:type="pct"/>
          </w:tcPr>
          <w:p w14:paraId="6D32A5B9" w14:textId="77777777" w:rsidR="005B3184" w:rsidRPr="007E3D0B" w:rsidRDefault="005B3184" w:rsidP="00D1423F">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Prazo Mínimo de Concessão (meses)</w:t>
            </w:r>
          </w:p>
        </w:tc>
        <w:tc>
          <w:tcPr>
            <w:tcW w:w="2500" w:type="pct"/>
          </w:tcPr>
          <w:p w14:paraId="4B0C96DA" w14:textId="77777777" w:rsidR="005B3184" w:rsidRPr="007E3D0B" w:rsidRDefault="005B3184" w:rsidP="00D1423F">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E3D0B">
              <w:rPr>
                <w:rFonts w:asciiTheme="minorHAnsi" w:hAnsiTheme="minorHAnsi" w:cstheme="minorHAnsi"/>
                <w:color w:val="000000" w:themeColor="text1"/>
              </w:rPr>
              <w:t>6 meses (mínimo do INSS)</w:t>
            </w:r>
          </w:p>
        </w:tc>
      </w:tr>
    </w:tbl>
    <w:p w14:paraId="6028A898" w14:textId="77777777" w:rsidR="00765F90" w:rsidRPr="007E3D0B" w:rsidRDefault="00765F90" w:rsidP="005B3184">
      <w:pPr>
        <w:rPr>
          <w:rFonts w:asciiTheme="minorHAnsi" w:hAnsiTheme="minorHAnsi" w:cstheme="minorHAnsi"/>
          <w:color w:val="000000" w:themeColor="text1"/>
        </w:rPr>
      </w:pPr>
    </w:p>
    <w:p w14:paraId="12D8A683" w14:textId="77777777" w:rsidR="00E064E6" w:rsidRPr="007E3D0B" w:rsidRDefault="00E064E6" w:rsidP="005B3184">
      <w:pPr>
        <w:rPr>
          <w:rFonts w:asciiTheme="minorHAnsi" w:hAnsiTheme="minorHAnsi" w:cstheme="minorHAnsi"/>
          <w:color w:val="000000" w:themeColor="text1"/>
        </w:rPr>
      </w:pPr>
      <w:r w:rsidRPr="007E3D0B">
        <w:rPr>
          <w:rFonts w:asciiTheme="minorHAnsi" w:hAnsiTheme="minorHAnsi" w:cstheme="minorHAnsi"/>
          <w:color w:val="000000" w:themeColor="text1"/>
        </w:rPr>
        <w:t>O valor máximo do empréstimo não poderá exceder a margem consignável disponível, considerando o prazo contratado, a taxa de juros e o índice de atualização monetária. Será permitida apenas uma operação ativa por tomador, e as renovações somente ocorrerão com a quitação do contrato anterior (liquidação/portabilidade), sendo vedada a ampliação indevida do comprometimento da margem. Deve ser preservada renda líquida suficiente após o desconto da parcela, conforme normas internas.</w:t>
      </w:r>
    </w:p>
    <w:p w14:paraId="1C78BA85" w14:textId="77777777" w:rsidR="0002105C" w:rsidRPr="007E3D0B" w:rsidRDefault="0002105C" w:rsidP="005B3184">
      <w:pPr>
        <w:rPr>
          <w:rFonts w:asciiTheme="minorHAnsi" w:hAnsiTheme="minorHAnsi" w:cstheme="minorHAnsi"/>
          <w:color w:val="000000" w:themeColor="text1"/>
        </w:rPr>
      </w:pPr>
      <w:r w:rsidRPr="007E3D0B">
        <w:rPr>
          <w:rFonts w:asciiTheme="minorHAnsi" w:hAnsiTheme="minorHAnsi" w:cstheme="minorHAnsi"/>
          <w:color w:val="000000" w:themeColor="text1"/>
        </w:rPr>
        <w:t>Os empréstimos serão concedidos pelo sistema de amortização prefixado, com prestações mensais conforme o prazo estabelecido. Em repactuações ou situações extraordinárias, poderão ser adotadas condições específicas, desde que haja ciência do tomador e registro no processo.</w:t>
      </w:r>
    </w:p>
    <w:p w14:paraId="5E984C5E" w14:textId="77777777" w:rsidR="00172F28" w:rsidRPr="007E3D0B" w:rsidRDefault="00BA2376" w:rsidP="00172F28">
      <w:pPr>
        <w:rPr>
          <w:rFonts w:asciiTheme="minorHAnsi" w:hAnsiTheme="minorHAnsi" w:cstheme="minorHAnsi"/>
          <w:color w:val="000000" w:themeColor="text1"/>
        </w:rPr>
      </w:pPr>
      <w:r w:rsidRPr="007E3D0B">
        <w:rPr>
          <w:rFonts w:asciiTheme="minorHAnsi" w:hAnsiTheme="minorHAnsi" w:cstheme="minorHAnsi"/>
          <w:color w:val="000000" w:themeColor="text1"/>
        </w:rPr>
        <w:t>Todo contrato deverá conter comprovante de margem, taxa de juros, índice de atualização, cronograma de amortização e demais condições. Alterações na base de desconto (ex.: suspensão do benefício, licença sem vencimentos) devem ser comunicadas e acarretarão reavaliação da capacidade de pagamento e adoção das medidas cabíveis, nos termos desta Política.</w:t>
      </w:r>
    </w:p>
    <w:p w14:paraId="13B69A01" w14:textId="77777777" w:rsidR="00172F28" w:rsidRPr="007E3D0B" w:rsidRDefault="00172F28" w:rsidP="00172F28">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parâmetros de margem, valores e prazos estabelecidos neste subitem serão reavaliados na revisão anual desta Política ou sempre que houver alteração normativa relevante ou mudança material no perfil de risco ou no fluxo de caixa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devendo eventuais ajustes ser submetidos às instâncias competentes para aprovação.</w:t>
      </w:r>
    </w:p>
    <w:p w14:paraId="5F3EC265" w14:textId="77777777" w:rsidR="00E34286" w:rsidRPr="007E3D0B" w:rsidRDefault="00E34286" w:rsidP="00A060EC">
      <w:pPr>
        <w:rPr>
          <w:rFonts w:asciiTheme="minorHAnsi" w:hAnsiTheme="minorHAnsi" w:cstheme="minorHAnsi"/>
          <w:color w:val="000000" w:themeColor="text1"/>
        </w:rPr>
      </w:pPr>
    </w:p>
    <w:p w14:paraId="05B49914" w14:textId="77777777" w:rsidR="00837806" w:rsidRPr="007E3D0B" w:rsidRDefault="002B039A"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Condições Financeiras e Parâmetros de Rentabilidade</w:t>
      </w:r>
    </w:p>
    <w:p w14:paraId="7C613575" w14:textId="77777777" w:rsidR="007013AA"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operações de empréstimo consignado observarão condições financeiras padronizadas, claras e compatíveis com os objetivos previdenciários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 taxa de juros será definida por ato interno, de forma coerente com a Meta de Rentabilidade desta Política e com a preservação da solvência e da liquidez do </w:t>
      </w:r>
      <w:r w:rsidRPr="007E3D0B">
        <w:rPr>
          <w:rFonts w:asciiTheme="minorHAnsi" w:hAnsiTheme="minorHAnsi" w:cstheme="minorHAnsi"/>
          <w:b/>
          <w:bCs/>
          <w:color w:val="000000" w:themeColor="text1"/>
        </w:rPr>
        <w:t xml:space="preserve">INSTITUTO DE </w:t>
      </w:r>
      <w:r w:rsidRPr="007E3D0B">
        <w:rPr>
          <w:rFonts w:asciiTheme="minorHAnsi" w:hAnsiTheme="minorHAnsi" w:cstheme="minorHAnsi"/>
          <w:b/>
          <w:bCs/>
          <w:color w:val="000000" w:themeColor="text1"/>
        </w:rPr>
        <w:lastRenderedPageBreak/>
        <w:t>PREVIDÊNCIA MUNICIPAL DE SANTO ANTÔNIO DE POSSE - IPREM POSSE</w:t>
      </w:r>
      <w:r w:rsidRPr="007E3D0B">
        <w:rPr>
          <w:rFonts w:asciiTheme="minorHAnsi" w:hAnsiTheme="minorHAnsi" w:cstheme="minorHAnsi"/>
          <w:color w:val="000000" w:themeColor="text1"/>
        </w:rPr>
        <w:t>. O Custo Efetivo Total (CET) será informado ao tomador antes da contratação, com memória de cálculo juntada ao processo.</w:t>
      </w:r>
    </w:p>
    <w:p w14:paraId="384CB540" w14:textId="77777777" w:rsidR="00AF3D9F" w:rsidRPr="007E3D0B" w:rsidRDefault="001457C5"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A</w:t>
      </w:r>
      <w:r w:rsidR="007013AA" w:rsidRPr="007E3D0B">
        <w:rPr>
          <w:rFonts w:asciiTheme="minorHAnsi" w:hAnsiTheme="minorHAnsi" w:cstheme="minorHAnsi"/>
          <w:color w:val="000000" w:themeColor="text1"/>
        </w:rPr>
        <w:t xml:space="preserve"> atualização monetária utilizará</w:t>
      </w:r>
      <w:r w:rsidRPr="007E3D0B">
        <w:rPr>
          <w:rFonts w:asciiTheme="minorHAnsi" w:hAnsiTheme="minorHAnsi" w:cstheme="minorHAnsi"/>
          <w:color w:val="000000" w:themeColor="text1"/>
        </w:rPr>
        <w:t xml:space="preserve"> o Índice de Atualização Monetária (IPCA</w:t>
      </w:r>
      <w:r w:rsidRPr="007E3D0B">
        <w:rPr>
          <w:rFonts w:ascii="Cambria Math" w:hAnsi="Cambria Math" w:cs="Cambria Math"/>
          <w:color w:val="000000" w:themeColor="text1"/>
        </w:rPr>
        <w:t>‑</w:t>
      </w:r>
      <w:r w:rsidRPr="007E3D0B">
        <w:rPr>
          <w:rFonts w:asciiTheme="minorHAnsi" w:hAnsiTheme="minorHAnsi" w:cstheme="minorHAnsi"/>
          <w:color w:val="000000" w:themeColor="text1"/>
        </w:rPr>
        <w:t>IBGE)</w:t>
      </w:r>
      <w:r w:rsidR="007013AA" w:rsidRPr="007E3D0B">
        <w:rPr>
          <w:rFonts w:asciiTheme="minorHAnsi" w:hAnsiTheme="minorHAnsi" w:cstheme="minorHAnsi"/>
          <w:color w:val="000000" w:themeColor="text1"/>
        </w:rPr>
        <w:t>; nos casos de atraso não imputável ao ente pagador, incidirão encargos de mora e multas conforme regulamento interno e contrato.</w:t>
      </w:r>
    </w:p>
    <w:p w14:paraId="71D239E1" w14:textId="77777777" w:rsidR="00AF3D9F"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As operações serão celebradas pelo sistema de amortização prefixado, com prestações mensais fixadas no ato da contratação, respeitando-se os prazos mínimo de 6 (seis) meses e máximo de 84 (oitenta e quatro) meses.</w:t>
      </w:r>
    </w:p>
    <w:p w14:paraId="29036094" w14:textId="77777777" w:rsidR="007013AA"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É assegurada a portabilidade do crédito, mediante liquidação do saldo devedor, e a liquidação antecipada poderá ocorrer a qualquer tempo, com recálculo proporcional dos encargos contratados. Carência somente será admitida quando expressamente prevista em ato interno, com duração limitada e condicionada à preservação da margem consignável e da capacidade de pagamento do tomador. Eventuais custos administrativos e tributos serão explicitados no contrato e comporão o CET.</w:t>
      </w:r>
    </w:p>
    <w:p w14:paraId="019CE0B7" w14:textId="77777777" w:rsidR="004F5580"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parâmetros de rentabilidade perseguidos para a carteira de consignados buscarão compatibilidade com o perfil das obrigações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tendo em vista a necessidade de manutenção do equilíbrio financeiro e atuarial. Além disso, as operações observarão um parâmetro mínimo de rentabilidade alinhado à Meta de Rentabilidade, após custos administrativos, tributos, encargos e perdas esperadas.</w:t>
      </w:r>
    </w:p>
    <w:p w14:paraId="7A6582E0" w14:textId="77777777" w:rsidR="007013AA"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Esse parâmetro </w:t>
      </w:r>
      <w:r w:rsidR="00F12C29" w:rsidRPr="007E3D0B">
        <w:rPr>
          <w:rFonts w:asciiTheme="minorHAnsi" w:hAnsiTheme="minorHAnsi" w:cstheme="minorHAnsi"/>
          <w:color w:val="000000" w:themeColor="text1"/>
        </w:rPr>
        <w:t xml:space="preserve">de rentabilidade </w:t>
      </w:r>
      <w:r w:rsidRPr="007E3D0B">
        <w:rPr>
          <w:rFonts w:asciiTheme="minorHAnsi" w:hAnsiTheme="minorHAnsi" w:cstheme="minorHAnsi"/>
          <w:color w:val="000000" w:themeColor="text1"/>
        </w:rPr>
        <w:t>será revisado anualmente na atualização da Política ou quando houver alteração normativa relevante, e seu atingimento será acompanhado nos relatórios periódicos ao Comitê de Investimentos, com proposição de ajustes em caso de desvios materiais e recorrentes.</w:t>
      </w:r>
    </w:p>
    <w:p w14:paraId="235AC6A3" w14:textId="77777777" w:rsidR="00F12C29"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As prestações do empréstimo serão calculadas considerando, de forma integrada:</w:t>
      </w:r>
    </w:p>
    <w:p w14:paraId="6C831296" w14:textId="77777777" w:rsidR="00F12C29" w:rsidRPr="007E3D0B" w:rsidRDefault="007013AA" w:rsidP="008B69D1">
      <w:pPr>
        <w:pStyle w:val="PargrafodaLista"/>
        <w:numPr>
          <w:ilvl w:val="0"/>
          <w:numId w:val="21"/>
        </w:numPr>
        <w:rPr>
          <w:rFonts w:asciiTheme="minorHAnsi" w:hAnsiTheme="minorHAnsi" w:cstheme="minorHAnsi"/>
          <w:color w:val="000000" w:themeColor="text1"/>
        </w:rPr>
      </w:pPr>
      <w:r w:rsidRPr="007E3D0B">
        <w:rPr>
          <w:rFonts w:asciiTheme="minorHAnsi" w:hAnsiTheme="minorHAnsi" w:cstheme="minorHAnsi"/>
          <w:color w:val="000000" w:themeColor="text1"/>
        </w:rPr>
        <w:t>a Meta de Rentabilidade definida e aprovada pelo Comitê de Investimentos e pelo Conselho Deliberativo e já informada nesta Política;</w:t>
      </w:r>
    </w:p>
    <w:p w14:paraId="7B6CE73F" w14:textId="77777777" w:rsidR="00F12C29" w:rsidRPr="007E3D0B" w:rsidRDefault="00F12C29" w:rsidP="00F12C29">
      <w:pPr>
        <w:pStyle w:val="PargrafodaLista"/>
        <w:rPr>
          <w:rFonts w:asciiTheme="minorHAnsi" w:hAnsiTheme="minorHAnsi" w:cstheme="minorHAnsi"/>
          <w:color w:val="000000" w:themeColor="text1"/>
        </w:rPr>
      </w:pPr>
    </w:p>
    <w:p w14:paraId="1BF04550" w14:textId="77777777" w:rsidR="00054FDB" w:rsidRPr="007E3D0B" w:rsidRDefault="007013AA" w:rsidP="008B69D1">
      <w:pPr>
        <w:pStyle w:val="PargrafodaLista"/>
        <w:numPr>
          <w:ilvl w:val="0"/>
          <w:numId w:val="21"/>
        </w:numPr>
        <w:rPr>
          <w:rFonts w:asciiTheme="minorHAnsi" w:hAnsiTheme="minorHAnsi" w:cstheme="minorHAnsi"/>
          <w:color w:val="000000" w:themeColor="text1"/>
        </w:rPr>
      </w:pPr>
      <w:r w:rsidRPr="007E3D0B">
        <w:rPr>
          <w:rFonts w:asciiTheme="minorHAnsi" w:hAnsiTheme="minorHAnsi" w:cstheme="minorHAnsi"/>
          <w:color w:val="000000" w:themeColor="text1"/>
        </w:rPr>
        <w:t>a Taxa de Administração;</w:t>
      </w:r>
    </w:p>
    <w:p w14:paraId="6B9FD76A" w14:textId="77777777" w:rsidR="00054FDB" w:rsidRPr="007E3D0B" w:rsidRDefault="00054FDB" w:rsidP="00054FDB">
      <w:pPr>
        <w:pStyle w:val="PargrafodaLista"/>
        <w:rPr>
          <w:rFonts w:asciiTheme="minorHAnsi" w:hAnsiTheme="minorHAnsi" w:cstheme="minorHAnsi"/>
          <w:color w:val="000000" w:themeColor="text1"/>
        </w:rPr>
      </w:pPr>
    </w:p>
    <w:p w14:paraId="6E17F70A" w14:textId="77777777" w:rsidR="00054FDB" w:rsidRPr="007E3D0B" w:rsidRDefault="007013AA" w:rsidP="008B69D1">
      <w:pPr>
        <w:pStyle w:val="PargrafodaLista"/>
        <w:numPr>
          <w:ilvl w:val="0"/>
          <w:numId w:val="21"/>
        </w:numPr>
        <w:rPr>
          <w:rFonts w:asciiTheme="minorHAnsi" w:hAnsiTheme="minorHAnsi" w:cstheme="minorHAnsi"/>
          <w:color w:val="000000" w:themeColor="text1"/>
        </w:rPr>
      </w:pPr>
      <w:r w:rsidRPr="007E3D0B">
        <w:rPr>
          <w:rFonts w:asciiTheme="minorHAnsi" w:hAnsiTheme="minorHAnsi" w:cstheme="minorHAnsi"/>
          <w:color w:val="000000" w:themeColor="text1"/>
        </w:rPr>
        <w:t>a Taxa do Fundo de Investimento de Liquidez, destinada à guarda e à gestão dos valores a conceder; e</w:t>
      </w:r>
    </w:p>
    <w:p w14:paraId="286D2C73" w14:textId="77777777" w:rsidR="00054FDB" w:rsidRPr="007E3D0B" w:rsidRDefault="00054FDB" w:rsidP="00054FDB">
      <w:pPr>
        <w:pStyle w:val="PargrafodaLista"/>
        <w:rPr>
          <w:rFonts w:asciiTheme="minorHAnsi" w:hAnsiTheme="minorHAnsi" w:cstheme="minorHAnsi"/>
          <w:color w:val="000000" w:themeColor="text1"/>
        </w:rPr>
      </w:pPr>
    </w:p>
    <w:p w14:paraId="7F4F0E51" w14:textId="77777777" w:rsidR="00054FDB" w:rsidRPr="007E3D0B" w:rsidRDefault="007013AA" w:rsidP="008B69D1">
      <w:pPr>
        <w:pStyle w:val="PargrafodaLista"/>
        <w:numPr>
          <w:ilvl w:val="0"/>
          <w:numId w:val="21"/>
        </w:numPr>
        <w:rPr>
          <w:rFonts w:asciiTheme="minorHAnsi" w:hAnsiTheme="minorHAnsi" w:cstheme="minorHAnsi"/>
          <w:color w:val="000000" w:themeColor="text1"/>
        </w:rPr>
      </w:pPr>
      <w:r w:rsidRPr="007E3D0B">
        <w:rPr>
          <w:rFonts w:asciiTheme="minorHAnsi" w:hAnsiTheme="minorHAnsi" w:cstheme="minorHAnsi"/>
          <w:color w:val="000000" w:themeColor="text1"/>
        </w:rPr>
        <w:t>a Taxa do Fundo Garantidor e/ou Seguro, cobrada no ato da concessão.</w:t>
      </w:r>
    </w:p>
    <w:p w14:paraId="16E531C3" w14:textId="77777777" w:rsidR="00ED795A" w:rsidRPr="007E3D0B" w:rsidRDefault="000840A3"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O valor máximo da Taxa de Administração será fixado pelo Comitê de Investimentos e deliberado pelo Conselho Deliberativo, informado ao tomador na contratação e deduzido do principal no momento da liberação. Poderá ser cobrada quantia para composição do Fundo Garantidor, deduzida do montante solicitado; esse fundo será formado, preferencialmente, por percentual sobre as concessões e/ou por performance acima da Meta de Rentabilidade e será recomposto pelas recuperações de crédito obtidas em ações judiciais e extrajudiciais.</w:t>
      </w:r>
    </w:p>
    <w:p w14:paraId="71B2D4E3" w14:textId="77777777" w:rsidR="007013AA" w:rsidRPr="007E3D0B" w:rsidRDefault="000840A3" w:rsidP="007013AA">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Após a concessão, os encargos incidentes não são passíveis de restituição; havendo quitação antecipada, haverá redução proporcional dos juros contratados. Todas as taxas e encargos integram o Custo Efetivo Total (CET) informado ao tomador.</w:t>
      </w:r>
    </w:p>
    <w:p w14:paraId="749DFA81" w14:textId="77777777" w:rsidR="00635488" w:rsidRPr="007E3D0B" w:rsidRDefault="007013AA" w:rsidP="007013AA">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condições financeiras e os parâmetros de rentabilidade definidos neste item aplicam-se a todas as contratações, renovações, portabilidades e repactuações do consignado e serão verificados nos processos de contratação e de monitoramento, constituindo requisito para a manutenção da modalidade no âmbito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6BA01262" w14:textId="77777777" w:rsidR="00A022D3" w:rsidRPr="007E3D0B" w:rsidRDefault="00A022D3" w:rsidP="007013AA">
      <w:pPr>
        <w:rPr>
          <w:rFonts w:asciiTheme="minorHAnsi" w:hAnsiTheme="minorHAnsi" w:cstheme="minorHAnsi"/>
          <w:color w:val="000000" w:themeColor="text1"/>
        </w:rPr>
      </w:pPr>
    </w:p>
    <w:p w14:paraId="76EE2C9D" w14:textId="77777777" w:rsidR="00E33BB7" w:rsidRPr="007E3D0B" w:rsidRDefault="00E33BB7"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Cobrança das Prestações</w:t>
      </w:r>
    </w:p>
    <w:p w14:paraId="2A327C59" w14:textId="77777777" w:rsidR="00B5086D" w:rsidRPr="007E3D0B" w:rsidRDefault="00B5086D" w:rsidP="00B14429">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pagamento das prestações </w:t>
      </w:r>
      <w:r w:rsidR="00B14429" w:rsidRPr="007E3D0B">
        <w:rPr>
          <w:rFonts w:asciiTheme="minorHAnsi" w:hAnsiTheme="minorHAnsi" w:cstheme="minorHAnsi"/>
          <w:color w:val="000000" w:themeColor="text1"/>
        </w:rPr>
        <w:t>ocorrerá</w:t>
      </w:r>
      <w:r w:rsidR="00AD1864"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mensalmente</w:t>
      </w:r>
      <w:r w:rsidR="00B14429" w:rsidRPr="007E3D0B">
        <w:rPr>
          <w:rFonts w:asciiTheme="minorHAnsi" w:hAnsiTheme="minorHAnsi" w:cstheme="minorHAnsi"/>
          <w:color w:val="000000" w:themeColor="text1"/>
        </w:rPr>
        <w:t>. No caso dos servidores ativos, a amortização do saldo devedor ocorrerá por consignação na folha de pagamento</w:t>
      </w:r>
      <w:r w:rsidR="00142748" w:rsidRPr="007E3D0B">
        <w:rPr>
          <w:rFonts w:asciiTheme="minorHAnsi" w:hAnsiTheme="minorHAnsi" w:cstheme="minorHAnsi"/>
          <w:color w:val="000000" w:themeColor="text1"/>
        </w:rPr>
        <w:t xml:space="preserve"> do Ente Federativo</w:t>
      </w:r>
      <w:r w:rsidR="00B14429" w:rsidRPr="007E3D0B">
        <w:rPr>
          <w:rFonts w:asciiTheme="minorHAnsi" w:hAnsiTheme="minorHAnsi" w:cstheme="minorHAnsi"/>
          <w:color w:val="000000" w:themeColor="text1"/>
        </w:rPr>
        <w:t>. Para os</w:t>
      </w:r>
      <w:r w:rsidR="00142748" w:rsidRPr="007E3D0B">
        <w:rPr>
          <w:rFonts w:asciiTheme="minorHAnsi" w:hAnsiTheme="minorHAnsi" w:cstheme="minorHAnsi"/>
          <w:color w:val="000000" w:themeColor="text1"/>
        </w:rPr>
        <w:t xml:space="preserve"> beneficiários</w:t>
      </w:r>
      <w:r w:rsidR="00B14429" w:rsidRPr="007E3D0B">
        <w:rPr>
          <w:rFonts w:asciiTheme="minorHAnsi" w:hAnsiTheme="minorHAnsi" w:cstheme="minorHAnsi"/>
          <w:color w:val="000000" w:themeColor="text1"/>
        </w:rPr>
        <w:t>, os pagamentos</w:t>
      </w:r>
      <w:r w:rsidR="00142748" w:rsidRPr="007E3D0B">
        <w:rPr>
          <w:rFonts w:asciiTheme="minorHAnsi" w:hAnsiTheme="minorHAnsi" w:cstheme="minorHAnsi"/>
          <w:color w:val="000000" w:themeColor="text1"/>
        </w:rPr>
        <w:t xml:space="preserve"> </w:t>
      </w:r>
      <w:r w:rsidR="00B14429" w:rsidRPr="007E3D0B">
        <w:rPr>
          <w:rFonts w:asciiTheme="minorHAnsi" w:hAnsiTheme="minorHAnsi" w:cstheme="minorHAnsi"/>
          <w:color w:val="000000" w:themeColor="text1"/>
        </w:rPr>
        <w:t xml:space="preserve">serão descontados da folha de benefícios do </w:t>
      </w:r>
      <w:r w:rsidRPr="007E3D0B">
        <w:rPr>
          <w:rFonts w:asciiTheme="minorHAnsi" w:hAnsiTheme="minorHAnsi" w:cstheme="minorHAnsi"/>
          <w:b/>
          <w:bCs/>
          <w:color w:val="000000" w:themeColor="text1"/>
        </w:rPr>
        <w:t>INSTITUTO DE PREVIDÊNCIA MUNICIPAL DE SANTO ANTÔNIO DE POSSE - IPREM POSSE</w:t>
      </w:r>
      <w:r w:rsidR="00B14429" w:rsidRPr="007E3D0B">
        <w:rPr>
          <w:rFonts w:asciiTheme="minorHAnsi" w:hAnsiTheme="minorHAnsi" w:cstheme="minorHAnsi"/>
          <w:color w:val="000000" w:themeColor="text1"/>
        </w:rPr>
        <w:t>.</w:t>
      </w:r>
    </w:p>
    <w:p w14:paraId="6DD918CD" w14:textId="77777777" w:rsidR="00151077" w:rsidRPr="007E3D0B" w:rsidRDefault="00151077" w:rsidP="00B14429">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Fica o Ente Federativo com a responsabilidade de informar o </w:t>
      </w:r>
      <w:r w:rsidRPr="007E3D0B">
        <w:rPr>
          <w:rFonts w:asciiTheme="minorHAnsi" w:hAnsiTheme="minorHAnsi" w:cstheme="minorHAnsi"/>
          <w:b/>
          <w:bCs/>
          <w:color w:val="000000" w:themeColor="text1"/>
        </w:rPr>
        <w:t>INSTITUTO DE PREVIDÊNCIA MUNICIPAL DE SANTO ANTÔNIO DE POSSE - IPREM POSSE</w:t>
      </w:r>
      <w:r w:rsidR="00C36EE0"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o motivo pelo qual não houve o desconto em folha da parcela de empréstimos no mês subsequente ao vencimento da prestação.</w:t>
      </w:r>
    </w:p>
    <w:p w14:paraId="3C9972B3" w14:textId="77777777" w:rsidR="00492C2B" w:rsidRPr="007E3D0B" w:rsidRDefault="00C36EE0" w:rsidP="00C36E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w:t>
      </w:r>
      <w:r w:rsidR="00492C2B" w:rsidRPr="007E3D0B">
        <w:rPr>
          <w:rFonts w:asciiTheme="minorHAnsi" w:hAnsiTheme="minorHAnsi" w:cstheme="minorHAnsi"/>
          <w:color w:val="000000" w:themeColor="text1"/>
        </w:rPr>
        <w:t>tomadores</w:t>
      </w:r>
      <w:r w:rsidRPr="007E3D0B">
        <w:rPr>
          <w:rFonts w:asciiTheme="minorHAnsi" w:hAnsiTheme="minorHAnsi" w:cstheme="minorHAnsi"/>
          <w:color w:val="000000" w:themeColor="text1"/>
        </w:rPr>
        <w:t xml:space="preserve"> permanecem como </w:t>
      </w:r>
      <w:r w:rsidR="00AD2D51" w:rsidRPr="007E3D0B">
        <w:rPr>
          <w:rFonts w:asciiTheme="minorHAnsi" w:hAnsiTheme="minorHAnsi" w:cstheme="minorHAnsi"/>
          <w:color w:val="000000" w:themeColor="text1"/>
        </w:rPr>
        <w:t xml:space="preserve">os </w:t>
      </w:r>
      <w:r w:rsidRPr="007E3D0B">
        <w:rPr>
          <w:rFonts w:asciiTheme="minorHAnsi" w:hAnsiTheme="minorHAnsi" w:cstheme="minorHAnsi"/>
          <w:color w:val="000000" w:themeColor="text1"/>
        </w:rPr>
        <w:t>únicos responsáveis pelo</w:t>
      </w:r>
      <w:r w:rsidR="00492C2B" w:rsidRPr="007E3D0B">
        <w:rPr>
          <w:rFonts w:asciiTheme="minorHAnsi" w:hAnsiTheme="minorHAnsi" w:cstheme="minorHAnsi"/>
          <w:color w:val="000000" w:themeColor="text1"/>
        </w:rPr>
        <w:t>s</w:t>
      </w:r>
      <w:r w:rsidRPr="007E3D0B">
        <w:rPr>
          <w:rFonts w:asciiTheme="minorHAnsi" w:hAnsiTheme="minorHAnsi" w:cstheme="minorHAnsi"/>
          <w:color w:val="000000" w:themeColor="text1"/>
        </w:rPr>
        <w:t xml:space="preserve"> pagamento</w:t>
      </w:r>
      <w:r w:rsidR="00492C2B" w:rsidRPr="007E3D0B">
        <w:rPr>
          <w:rFonts w:asciiTheme="minorHAnsi" w:hAnsiTheme="minorHAnsi" w:cstheme="minorHAnsi"/>
          <w:color w:val="000000" w:themeColor="text1"/>
        </w:rPr>
        <w:t>s</w:t>
      </w:r>
      <w:r w:rsidRPr="007E3D0B">
        <w:rPr>
          <w:rFonts w:asciiTheme="minorHAnsi" w:hAnsiTheme="minorHAnsi" w:cstheme="minorHAnsi"/>
          <w:color w:val="000000" w:themeColor="text1"/>
        </w:rPr>
        <w:t xml:space="preserve"> do</w:t>
      </w:r>
      <w:r w:rsidR="00492C2B" w:rsidRPr="007E3D0B">
        <w:rPr>
          <w:rFonts w:asciiTheme="minorHAnsi" w:hAnsiTheme="minorHAnsi" w:cstheme="minorHAnsi"/>
          <w:color w:val="000000" w:themeColor="text1"/>
        </w:rPr>
        <w:t>s</w:t>
      </w:r>
      <w:r w:rsidRPr="007E3D0B">
        <w:rPr>
          <w:rFonts w:asciiTheme="minorHAnsi" w:hAnsiTheme="minorHAnsi" w:cstheme="minorHAnsi"/>
          <w:color w:val="000000" w:themeColor="text1"/>
        </w:rPr>
        <w:t xml:space="preserve"> empréstimo</w:t>
      </w:r>
      <w:r w:rsidR="00492C2B" w:rsidRPr="007E3D0B">
        <w:rPr>
          <w:rFonts w:asciiTheme="minorHAnsi" w:hAnsiTheme="minorHAnsi" w:cstheme="minorHAnsi"/>
          <w:color w:val="000000" w:themeColor="text1"/>
        </w:rPr>
        <w:t>s</w:t>
      </w:r>
      <w:r w:rsidRPr="007E3D0B">
        <w:rPr>
          <w:rFonts w:asciiTheme="minorHAnsi" w:hAnsiTheme="minorHAnsi" w:cstheme="minorHAnsi"/>
          <w:color w:val="000000" w:themeColor="text1"/>
        </w:rPr>
        <w:t>.</w:t>
      </w:r>
      <w:r w:rsidR="0083497F"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Caso</w:t>
      </w:r>
      <w:r w:rsidR="0083497F" w:rsidRPr="007E3D0B">
        <w:rPr>
          <w:rFonts w:asciiTheme="minorHAnsi" w:hAnsiTheme="minorHAnsi" w:cstheme="minorHAnsi"/>
          <w:color w:val="000000" w:themeColor="text1"/>
        </w:rPr>
        <w:t xml:space="preserve"> o Ente Federativo</w:t>
      </w:r>
      <w:r w:rsidRPr="007E3D0B">
        <w:rPr>
          <w:rFonts w:asciiTheme="minorHAnsi" w:hAnsiTheme="minorHAnsi" w:cstheme="minorHAnsi"/>
          <w:color w:val="000000" w:themeColor="text1"/>
        </w:rPr>
        <w:t xml:space="preserve">, por qualquer motivo, não processe os descontos mensais, o </w:t>
      </w:r>
      <w:r w:rsidR="00FB4801" w:rsidRPr="007E3D0B">
        <w:rPr>
          <w:rFonts w:asciiTheme="minorHAnsi" w:hAnsiTheme="minorHAnsi" w:cstheme="minorHAnsi"/>
          <w:color w:val="000000" w:themeColor="text1"/>
        </w:rPr>
        <w:t>tomador</w:t>
      </w:r>
      <w:r w:rsidRPr="007E3D0B">
        <w:rPr>
          <w:rFonts w:asciiTheme="minorHAnsi" w:hAnsiTheme="minorHAnsi" w:cstheme="minorHAnsi"/>
          <w:color w:val="000000" w:themeColor="text1"/>
        </w:rPr>
        <w:t xml:space="preserve"> está obrigado a realizar</w:t>
      </w:r>
      <w:r w:rsidR="0083497F"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 xml:space="preserve">os pagamentos das prestações correspondentes diretamente ao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Para isso, deverá solicitar a emissão de boleto</w:t>
      </w:r>
      <w:r w:rsidR="005C37B0"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 xml:space="preserve">bancário em favor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com vencimento para o dia 5</w:t>
      </w:r>
      <w:r w:rsidR="009C5F62" w:rsidRPr="007E3D0B">
        <w:rPr>
          <w:rFonts w:asciiTheme="minorHAnsi" w:hAnsiTheme="minorHAnsi" w:cstheme="minorHAnsi"/>
          <w:color w:val="000000" w:themeColor="text1"/>
        </w:rPr>
        <w:t>º</w:t>
      </w:r>
      <w:r w:rsidRPr="007E3D0B">
        <w:rPr>
          <w:rFonts w:asciiTheme="minorHAnsi" w:hAnsiTheme="minorHAnsi" w:cstheme="minorHAnsi"/>
          <w:color w:val="000000" w:themeColor="text1"/>
        </w:rPr>
        <w:t xml:space="preserve"> (</w:t>
      </w:r>
      <w:r w:rsidR="009C5F62" w:rsidRPr="007E3D0B">
        <w:rPr>
          <w:rFonts w:asciiTheme="minorHAnsi" w:hAnsiTheme="minorHAnsi" w:cstheme="minorHAnsi"/>
          <w:color w:val="000000" w:themeColor="text1"/>
        </w:rPr>
        <w:t>quinto</w:t>
      </w:r>
      <w:r w:rsidRPr="007E3D0B">
        <w:rPr>
          <w:rFonts w:asciiTheme="minorHAnsi" w:hAnsiTheme="minorHAnsi" w:cstheme="minorHAnsi"/>
          <w:color w:val="000000" w:themeColor="text1"/>
        </w:rPr>
        <w:t xml:space="preserve">) </w:t>
      </w:r>
      <w:r w:rsidR="009C5F62" w:rsidRPr="007E3D0B">
        <w:rPr>
          <w:rFonts w:asciiTheme="minorHAnsi" w:hAnsiTheme="minorHAnsi" w:cstheme="minorHAnsi"/>
          <w:color w:val="000000" w:themeColor="text1"/>
        </w:rPr>
        <w:t xml:space="preserve">dia útil </w:t>
      </w:r>
      <w:r w:rsidRPr="007E3D0B">
        <w:rPr>
          <w:rFonts w:asciiTheme="minorHAnsi" w:hAnsiTheme="minorHAnsi" w:cstheme="minorHAnsi"/>
          <w:color w:val="000000" w:themeColor="text1"/>
        </w:rPr>
        <w:t>do mês subsequente ao que deveria ser realizado o</w:t>
      </w:r>
      <w:r w:rsidR="009C5F62"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desconto na folha de pagamento.</w:t>
      </w:r>
    </w:p>
    <w:p w14:paraId="65D20B2D" w14:textId="77777777" w:rsidR="00C36EE0" w:rsidRPr="007E3D0B" w:rsidRDefault="00C36EE0" w:rsidP="00C36EE0">
      <w:pPr>
        <w:rPr>
          <w:rFonts w:asciiTheme="minorHAnsi" w:hAnsiTheme="minorHAnsi" w:cstheme="minorHAnsi"/>
          <w:color w:val="000000" w:themeColor="text1"/>
        </w:rPr>
      </w:pPr>
      <w:r w:rsidRPr="007E3D0B">
        <w:rPr>
          <w:rFonts w:asciiTheme="minorHAnsi" w:hAnsiTheme="minorHAnsi" w:cstheme="minorHAnsi"/>
          <w:color w:val="000000" w:themeColor="text1"/>
        </w:rPr>
        <w:t>Poderá ser determinado um outro meio de pagamento excepcional,</w:t>
      </w:r>
      <w:r w:rsidR="009C5F62"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desde que expressamente autorizado pelo</w:t>
      </w:r>
      <w:r w:rsidR="009C5F62" w:rsidRPr="007E3D0B">
        <w:rPr>
          <w:rFonts w:asciiTheme="minorHAnsi" w:hAnsiTheme="minorHAnsi" w:cstheme="minorHAnsi"/>
          <w:color w:val="000000" w:themeColor="text1"/>
        </w:rPr>
        <w:t xml:space="preserve">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sob pena de incorrer nos encargos de mora decorrentes da situação</w:t>
      </w:r>
      <w:r w:rsidR="009C5F62"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de contrato inadimplido.</w:t>
      </w:r>
    </w:p>
    <w:p w14:paraId="4603A87F" w14:textId="77777777" w:rsidR="009C5F62" w:rsidRPr="007E3D0B" w:rsidRDefault="00B40F3D" w:rsidP="00B40F3D">
      <w:pPr>
        <w:rPr>
          <w:rFonts w:asciiTheme="minorHAnsi" w:hAnsiTheme="minorHAnsi" w:cstheme="minorHAnsi"/>
          <w:color w:val="000000" w:themeColor="text1"/>
        </w:rPr>
      </w:pPr>
      <w:r w:rsidRPr="007E3D0B">
        <w:rPr>
          <w:rFonts w:asciiTheme="minorHAnsi" w:hAnsiTheme="minorHAnsi" w:cstheme="minorHAnsi"/>
          <w:color w:val="000000" w:themeColor="text1"/>
        </w:rPr>
        <w:t>Ocorrendo o atraso do pagamento de quaisquer prestações previstas no contrato de empréstimo, serão cobrados juros de mora e atualização monetária em percentual e índice definidos nesta Política de Investimentos, contados a partir da data do vencimento da prestação em atraso.</w:t>
      </w:r>
    </w:p>
    <w:p w14:paraId="1563E03D" w14:textId="77777777" w:rsidR="00B40F3D" w:rsidRPr="007E3D0B" w:rsidRDefault="002A6915" w:rsidP="002A6915">
      <w:pPr>
        <w:rPr>
          <w:rFonts w:asciiTheme="minorHAnsi" w:hAnsiTheme="minorHAnsi" w:cstheme="minorHAnsi"/>
          <w:color w:val="000000" w:themeColor="text1"/>
        </w:rPr>
      </w:pPr>
      <w:r w:rsidRPr="007E3D0B">
        <w:rPr>
          <w:rFonts w:asciiTheme="minorHAnsi" w:hAnsiTheme="minorHAnsi" w:cstheme="minorHAnsi"/>
          <w:color w:val="000000" w:themeColor="text1"/>
        </w:rPr>
        <w:t>Os tomadores que atrasarem o pagamento de qualquer parcela do empréstimo serão considerados inadimplentes, incidindo sobre o valor devido juros de mora de 1% (um por cento) ao mês e correção monetária pelo IPCA ou outro índice que o venha substituir expressamente.</w:t>
      </w:r>
    </w:p>
    <w:p w14:paraId="339E3E4E" w14:textId="77777777" w:rsidR="002A6915" w:rsidRPr="007E3D0B" w:rsidRDefault="001022E3" w:rsidP="001022E3">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Caso o servidor ativo passe a condição de aposentado, concederá </w:t>
      </w:r>
      <w:r w:rsidR="00A022D3" w:rsidRPr="007E3D0B">
        <w:rPr>
          <w:rFonts w:asciiTheme="minorHAnsi" w:hAnsiTheme="minorHAnsi" w:cstheme="minorHAnsi"/>
          <w:color w:val="000000" w:themeColor="text1"/>
        </w:rPr>
        <w:t xml:space="preserve">à </w:t>
      </w:r>
      <w:r w:rsidRPr="007E3D0B">
        <w:rPr>
          <w:rFonts w:asciiTheme="minorHAnsi" w:hAnsiTheme="minorHAnsi" w:cstheme="minorHAnsi"/>
          <w:b/>
          <w:bCs/>
          <w:color w:val="000000" w:themeColor="text1"/>
        </w:rPr>
        <w:t>INSTITUTO DE PREVIDÊNCIA MUNICIPAL DE SANTO ANTÔNIO DE POSSE - IPREM POSSE</w:t>
      </w:r>
      <w:r w:rsidR="00A022D3" w:rsidRPr="007E3D0B">
        <w:rPr>
          <w:rFonts w:asciiTheme="minorHAnsi" w:hAnsiTheme="minorHAnsi" w:cstheme="minorHAnsi"/>
          <w:color w:val="000000" w:themeColor="text1"/>
        </w:rPr>
        <w:t xml:space="preserve"> autorização</w:t>
      </w:r>
      <w:r w:rsidRPr="007E3D0B">
        <w:rPr>
          <w:rFonts w:asciiTheme="minorHAnsi" w:hAnsiTheme="minorHAnsi" w:cstheme="minorHAnsi"/>
          <w:color w:val="000000" w:themeColor="text1"/>
        </w:rPr>
        <w:t xml:space="preserve"> expressa e irrevogável para</w:t>
      </w:r>
      <w:r w:rsidR="00734407"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descontar mensalmente, do valor do benefício a que fizer jus, as parcelas correspondentes às prestações do contrato,</w:t>
      </w:r>
      <w:r w:rsidR="00734407"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respeitando o valor da margem consignável a ser apurada com base na renda mensal do benefício.</w:t>
      </w:r>
    </w:p>
    <w:p w14:paraId="58C90E60" w14:textId="77777777" w:rsidR="00734407" w:rsidRPr="007E3D0B" w:rsidRDefault="008532F2" w:rsidP="001022E3">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Obtida a informação do óbito do tomador, que poderá ser prestada pelo Ente Federativo ou familiar, o contrato de empréstimo será quitado mediante apresentação da Certidão de Óbito e o processo de cobrança cessado imediatamente.</w:t>
      </w:r>
    </w:p>
    <w:p w14:paraId="34396320" w14:textId="77777777" w:rsidR="008532F2" w:rsidRPr="007E3D0B" w:rsidRDefault="006902CD" w:rsidP="006902CD">
      <w:pPr>
        <w:rPr>
          <w:rFonts w:asciiTheme="minorHAnsi" w:hAnsiTheme="minorHAnsi" w:cstheme="minorHAnsi"/>
          <w:color w:val="000000" w:themeColor="text1"/>
        </w:rPr>
      </w:pPr>
      <w:r w:rsidRPr="007E3D0B">
        <w:rPr>
          <w:rFonts w:asciiTheme="minorHAnsi" w:hAnsiTheme="minorHAnsi" w:cstheme="minorHAnsi"/>
          <w:color w:val="000000" w:themeColor="text1"/>
        </w:rPr>
        <w:t>Para a cobrança judicial e extrajudicial poderão ser contratadas empresas terceirizadas para auxiliar na atividade, como por exemplo, escritórios jurídicos ou o próprio intermediador pela operação.</w:t>
      </w:r>
    </w:p>
    <w:p w14:paraId="48AD2F9D" w14:textId="72A93BB4" w:rsidR="00700C52" w:rsidRPr="007E3D0B" w:rsidRDefault="00821362" w:rsidP="0095394F">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No processo de manutenção e/ou implantação da modalidade Empréstimo Consignado, não serão considerados </w:t>
      </w:r>
      <w:r w:rsidR="00981A01" w:rsidRPr="007E3D0B">
        <w:rPr>
          <w:rFonts w:asciiTheme="minorHAnsi" w:hAnsiTheme="minorHAnsi" w:cstheme="minorHAnsi"/>
          <w:color w:val="000000" w:themeColor="text1"/>
        </w:rPr>
        <w:t xml:space="preserve">inconformidades e/ou </w:t>
      </w:r>
      <w:r w:rsidRPr="007E3D0B">
        <w:rPr>
          <w:rFonts w:asciiTheme="minorHAnsi" w:hAnsiTheme="minorHAnsi" w:cstheme="minorHAnsi"/>
          <w:color w:val="000000" w:themeColor="text1"/>
        </w:rPr>
        <w:t xml:space="preserve">desenquadramentos qualquer </w:t>
      </w:r>
      <w:r w:rsidR="00421FBB" w:rsidRPr="007E3D0B">
        <w:rPr>
          <w:rFonts w:asciiTheme="minorHAnsi" w:hAnsiTheme="minorHAnsi" w:cstheme="minorHAnsi"/>
          <w:color w:val="000000" w:themeColor="text1"/>
        </w:rPr>
        <w:t xml:space="preserve">limite ou </w:t>
      </w:r>
      <w:r w:rsidRPr="007E3D0B">
        <w:rPr>
          <w:rFonts w:asciiTheme="minorHAnsi" w:hAnsiTheme="minorHAnsi" w:cstheme="minorHAnsi"/>
          <w:color w:val="000000" w:themeColor="text1"/>
        </w:rPr>
        <w:t xml:space="preserve">regra cima citada, tendo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prazo de </w:t>
      </w:r>
      <w:r w:rsidR="00421FBB" w:rsidRPr="007E3D0B">
        <w:rPr>
          <w:rFonts w:asciiTheme="minorHAnsi" w:hAnsiTheme="minorHAnsi" w:cstheme="minorHAnsi"/>
          <w:b/>
          <w:bCs/>
          <w:color w:val="000000" w:themeColor="text1"/>
        </w:rPr>
        <w:t>12</w:t>
      </w:r>
      <w:r w:rsidRPr="007E3D0B">
        <w:rPr>
          <w:rFonts w:asciiTheme="minorHAnsi" w:hAnsiTheme="minorHAnsi" w:cstheme="minorHAnsi"/>
          <w:b/>
          <w:bCs/>
          <w:color w:val="000000" w:themeColor="text1"/>
        </w:rPr>
        <w:t>0 (</w:t>
      </w:r>
      <w:r w:rsidR="00421FBB" w:rsidRPr="007E3D0B">
        <w:rPr>
          <w:rFonts w:asciiTheme="minorHAnsi" w:hAnsiTheme="minorHAnsi" w:cstheme="minorHAnsi"/>
          <w:b/>
          <w:bCs/>
          <w:color w:val="000000" w:themeColor="text1"/>
        </w:rPr>
        <w:t>cento e vinte</w:t>
      </w:r>
      <w:r w:rsidRPr="007E3D0B">
        <w:rPr>
          <w:rFonts w:asciiTheme="minorHAnsi" w:hAnsiTheme="minorHAnsi" w:cstheme="minorHAnsi"/>
          <w:b/>
          <w:bCs/>
          <w:color w:val="000000" w:themeColor="text1"/>
        </w:rPr>
        <w:t>) dias</w:t>
      </w:r>
      <w:r w:rsidRPr="007E3D0B">
        <w:rPr>
          <w:rFonts w:asciiTheme="minorHAnsi" w:hAnsiTheme="minorHAnsi" w:cstheme="minorHAnsi"/>
          <w:color w:val="000000" w:themeColor="text1"/>
        </w:rPr>
        <w:t xml:space="preserve"> para revisão e adequação da sua Política de Investimentos em atendimento aos novos parâmetros</w:t>
      </w:r>
      <w:r w:rsidR="003C0CD0" w:rsidRPr="007E3D0B">
        <w:rPr>
          <w:rFonts w:asciiTheme="minorHAnsi" w:hAnsiTheme="minorHAnsi" w:cstheme="minorHAnsi"/>
          <w:color w:val="000000" w:themeColor="text1"/>
        </w:rPr>
        <w:t xml:space="preserve"> normativos e os que vierem a substituí-los</w:t>
      </w:r>
      <w:r w:rsidRPr="007E3D0B">
        <w:rPr>
          <w:rFonts w:asciiTheme="minorHAnsi" w:hAnsiTheme="minorHAnsi" w:cstheme="minorHAnsi"/>
          <w:bCs/>
          <w:color w:val="000000" w:themeColor="text1"/>
        </w:rPr>
        <w:t>.</w:t>
      </w:r>
    </w:p>
    <w:p w14:paraId="37086D95" w14:textId="77777777" w:rsidR="00500AE2" w:rsidRPr="007E3D0B" w:rsidRDefault="00500AE2" w:rsidP="004F698B">
      <w:pPr>
        <w:pStyle w:val="Ttulo1"/>
        <w:rPr>
          <w:rFonts w:asciiTheme="minorHAnsi" w:hAnsiTheme="minorHAnsi" w:cstheme="minorHAnsi"/>
          <w:color w:val="000000" w:themeColor="text1"/>
          <w:sz w:val="22"/>
          <w:szCs w:val="22"/>
        </w:rPr>
      </w:pPr>
      <w:bookmarkStart w:id="86" w:name="_Toc213399434"/>
      <w:r w:rsidRPr="007E3D0B">
        <w:rPr>
          <w:rFonts w:asciiTheme="minorHAnsi" w:hAnsiTheme="minorHAnsi" w:cstheme="minorHAnsi"/>
          <w:color w:val="000000" w:themeColor="text1"/>
          <w:sz w:val="22"/>
          <w:szCs w:val="22"/>
        </w:rPr>
        <w:t>CONTROLE DE RISCO</w:t>
      </w:r>
      <w:bookmarkEnd w:id="30"/>
      <w:bookmarkEnd w:id="31"/>
      <w:bookmarkEnd w:id="85"/>
      <w:bookmarkEnd w:id="86"/>
    </w:p>
    <w:p w14:paraId="5960B4E9"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color w:val="000000" w:themeColor="text1"/>
        </w:rPr>
        <w:t>Diante da metodologia e os critérios a serem adotados ao analisar os riscos dos investimentos, assim como as diretrizes para seu controle e monitoramento, é necessário observar a avaliação dos riscos de crédito, mercado, liquidez, operacional, legal, sistêmico e outros específicos a cada operação e tolerância a esses riscos.</w:t>
      </w:r>
    </w:p>
    <w:p w14:paraId="6E0928EE" w14:textId="77777777" w:rsidR="00F57C97" w:rsidRPr="007E3D0B" w:rsidRDefault="00500AE2" w:rsidP="00047303">
      <w:pPr>
        <w:rPr>
          <w:rFonts w:asciiTheme="minorHAnsi" w:hAnsiTheme="minorHAnsi" w:cstheme="minorHAnsi"/>
          <w:color w:val="000000" w:themeColor="text1"/>
        </w:rPr>
      </w:pPr>
      <w:r w:rsidRPr="007E3D0B">
        <w:rPr>
          <w:rFonts w:asciiTheme="minorHAnsi" w:hAnsiTheme="minorHAnsi" w:cstheme="minorHAnsi"/>
          <w:bCs/>
          <w:color w:val="000000" w:themeColor="text1"/>
        </w:rPr>
        <w:t xml:space="preserve">As aplicações financeiras estão sujeitas à incidência de fatores de risco que podem afetar adversamente o seu retorno, e consequentemente, fica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obrigado a exercer o acompanhamento e o controle sobre esses riscos, considerando entre eles:</w:t>
      </w:r>
    </w:p>
    <w:p w14:paraId="70742DF1" w14:textId="77777777" w:rsidR="00134407" w:rsidRPr="007E3D0B" w:rsidRDefault="00500AE2" w:rsidP="008B69D1">
      <w:pPr>
        <w:pStyle w:val="PargrafodaLista"/>
        <w:numPr>
          <w:ilvl w:val="0"/>
          <w:numId w:val="26"/>
        </w:numPr>
        <w:rPr>
          <w:rFonts w:asciiTheme="minorHAnsi" w:hAnsiTheme="minorHAnsi" w:cstheme="minorHAnsi"/>
          <w:color w:val="000000" w:themeColor="text1"/>
        </w:rPr>
      </w:pPr>
      <w:r w:rsidRPr="007E3D0B">
        <w:rPr>
          <w:rFonts w:asciiTheme="minorHAnsi" w:hAnsiTheme="minorHAnsi" w:cstheme="minorHAnsi"/>
          <w:b/>
          <w:color w:val="000000" w:themeColor="text1"/>
        </w:rPr>
        <w:t>Risco de Mercado</w:t>
      </w:r>
      <w:r w:rsidRPr="007E3D0B">
        <w:rPr>
          <w:rFonts w:asciiTheme="minorHAnsi" w:hAnsiTheme="minorHAnsi" w:cstheme="minorHAnsi"/>
          <w:color w:val="000000" w:themeColor="text1"/>
        </w:rPr>
        <w:t xml:space="preserve"> – é o risco inerente a todas as modalidades de aplicações financeiras disponíveis no mercado financeiro; corresponde à incerteza em relação ao resultado de um investimento financeiro ou de uma carteira de investimento, em decorrência de mudanças futuras nas condições de mercado. É o risco de variações, oscilações nas taxas e preços de mercado, tais como taxa de juros, preços de ações e outros índices. É ligado às oscilações do mercado financeiro.</w:t>
      </w:r>
      <w:r w:rsidR="003C6BD0" w:rsidRPr="007E3D0B">
        <w:rPr>
          <w:rFonts w:asciiTheme="minorHAnsi" w:hAnsiTheme="minorHAnsi" w:cstheme="minorHAnsi"/>
          <w:color w:val="000000" w:themeColor="text1"/>
        </w:rPr>
        <w:t xml:space="preserve"> O risco de mercado, também denominado risco sistemático, representa a exposição dos ativos às flutuações amplas e imprevisíveis do ambiente financeiro, decorrentes de fatores macroeconômicos, políticos e conjunturais globais. Trata-se de um risco que afeta transversalmente os diferentes segmentos do mercado e que não pode ser eliminado por meio da diversificação da carteira, uma vez que se refere às variações sistêmicas que impactam o conjunto dos ativos financeiros</w:t>
      </w:r>
    </w:p>
    <w:p w14:paraId="34135D94" w14:textId="77777777" w:rsidR="00134407" w:rsidRPr="007E3D0B" w:rsidRDefault="00134407" w:rsidP="00134407">
      <w:pPr>
        <w:pStyle w:val="PargrafodaLista"/>
        <w:rPr>
          <w:rFonts w:asciiTheme="minorHAnsi" w:hAnsiTheme="minorHAnsi" w:cstheme="minorHAnsi"/>
          <w:color w:val="000000" w:themeColor="text1"/>
        </w:rPr>
      </w:pPr>
    </w:p>
    <w:p w14:paraId="65F9C750" w14:textId="77777777" w:rsidR="00134407" w:rsidRPr="007E3D0B" w:rsidRDefault="00500AE2" w:rsidP="008B69D1">
      <w:pPr>
        <w:pStyle w:val="PargrafodaLista"/>
        <w:numPr>
          <w:ilvl w:val="0"/>
          <w:numId w:val="26"/>
        </w:numPr>
        <w:rPr>
          <w:rFonts w:asciiTheme="minorHAnsi" w:hAnsiTheme="minorHAnsi" w:cstheme="minorHAnsi"/>
          <w:color w:val="000000" w:themeColor="text1"/>
        </w:rPr>
      </w:pPr>
      <w:r w:rsidRPr="007E3D0B">
        <w:rPr>
          <w:rFonts w:asciiTheme="minorHAnsi" w:hAnsiTheme="minorHAnsi" w:cstheme="minorHAnsi"/>
          <w:b/>
          <w:color w:val="000000" w:themeColor="text1"/>
        </w:rPr>
        <w:t>Risco de Crédito</w:t>
      </w:r>
      <w:r w:rsidR="00707216" w:rsidRPr="007E3D0B">
        <w:rPr>
          <w:rFonts w:asciiTheme="minorHAnsi" w:hAnsiTheme="minorHAnsi" w:cstheme="minorHAnsi"/>
          <w:color w:val="000000" w:themeColor="text1"/>
        </w:rPr>
        <w:t xml:space="preserve"> - </w:t>
      </w:r>
      <w:r w:rsidRPr="007E3D0B">
        <w:rPr>
          <w:rFonts w:asciiTheme="minorHAnsi" w:hAnsiTheme="minorHAnsi" w:cstheme="minorHAnsi"/>
          <w:color w:val="000000" w:themeColor="text1"/>
        </w:rPr>
        <w:t>também conhecido como risco institucional ou de contraparte, é aquele em que há a possibilidade de o retorno de investimento não ser honrado pela instituição que emitiu determinado título, na data e nas condições negociadas e contratadas</w:t>
      </w:r>
      <w:r w:rsidR="00281D40" w:rsidRPr="007E3D0B">
        <w:rPr>
          <w:rFonts w:asciiTheme="minorHAnsi" w:hAnsiTheme="minorHAnsi" w:cstheme="minorHAnsi"/>
          <w:color w:val="000000" w:themeColor="text1"/>
        </w:rPr>
        <w:t>.</w:t>
      </w:r>
      <w:r w:rsidR="003C6BD0" w:rsidRPr="007E3D0B">
        <w:rPr>
          <w:rFonts w:asciiTheme="minorHAnsi" w:hAnsiTheme="minorHAnsi" w:cstheme="minorHAnsi"/>
          <w:color w:val="000000" w:themeColor="text1"/>
        </w:rPr>
        <w:t xml:space="preserve"> refere-se à possibilidade de o emissor ou tomador de recursos não honrar seus compromissos financeiros, total ou parcialmente, na data acordada</w:t>
      </w:r>
      <w:r w:rsidR="00047303" w:rsidRPr="007E3D0B">
        <w:rPr>
          <w:rFonts w:asciiTheme="minorHAnsi" w:hAnsiTheme="minorHAnsi" w:cstheme="minorHAnsi"/>
          <w:color w:val="000000" w:themeColor="text1"/>
        </w:rPr>
        <w:t>;</w:t>
      </w:r>
    </w:p>
    <w:p w14:paraId="3A602C04" w14:textId="77777777" w:rsidR="00134407" w:rsidRPr="007E3D0B" w:rsidRDefault="00134407" w:rsidP="00134407">
      <w:pPr>
        <w:pStyle w:val="PargrafodaLista"/>
        <w:rPr>
          <w:rFonts w:asciiTheme="minorHAnsi" w:hAnsiTheme="minorHAnsi" w:cstheme="minorHAnsi"/>
          <w:b/>
          <w:color w:val="000000" w:themeColor="text1"/>
        </w:rPr>
      </w:pPr>
    </w:p>
    <w:p w14:paraId="16857B22" w14:textId="77777777" w:rsidR="00134407" w:rsidRPr="007E3D0B" w:rsidRDefault="00500AE2" w:rsidP="008B69D1">
      <w:pPr>
        <w:pStyle w:val="PargrafodaLista"/>
        <w:numPr>
          <w:ilvl w:val="0"/>
          <w:numId w:val="26"/>
        </w:numPr>
        <w:rPr>
          <w:rFonts w:asciiTheme="minorHAnsi" w:hAnsiTheme="minorHAnsi" w:cstheme="minorHAnsi"/>
          <w:color w:val="000000" w:themeColor="text1"/>
        </w:rPr>
      </w:pPr>
      <w:r w:rsidRPr="007E3D0B">
        <w:rPr>
          <w:rFonts w:asciiTheme="minorHAnsi" w:hAnsiTheme="minorHAnsi" w:cstheme="minorHAnsi"/>
          <w:b/>
          <w:color w:val="000000" w:themeColor="text1"/>
        </w:rPr>
        <w:t>Risco de Liquidez</w:t>
      </w:r>
      <w:r w:rsidRPr="007E3D0B">
        <w:rPr>
          <w:rFonts w:asciiTheme="minorHAnsi" w:hAnsiTheme="minorHAnsi" w:cstheme="minorHAnsi"/>
          <w:color w:val="000000" w:themeColor="text1"/>
        </w:rPr>
        <w:t xml:space="preserve"> - surge da dificuldade em se conseguir encontrar compradores potenciais de um determinado ativo no momento e no preço desejado. Ocorre quando um ativo está com baixo volume de neg</w:t>
      </w:r>
      <w:r w:rsidR="00E73155" w:rsidRPr="007E3D0B">
        <w:rPr>
          <w:rFonts w:asciiTheme="minorHAnsi" w:hAnsiTheme="minorHAnsi" w:cstheme="minorHAnsi"/>
          <w:color w:val="000000" w:themeColor="text1"/>
        </w:rPr>
        <w:t>ociação</w:t>
      </w:r>
      <w:r w:rsidRPr="007E3D0B">
        <w:rPr>
          <w:rFonts w:asciiTheme="minorHAnsi" w:hAnsiTheme="minorHAnsi" w:cstheme="minorHAnsi"/>
          <w:color w:val="000000" w:themeColor="text1"/>
        </w:rPr>
        <w:t xml:space="preserve"> e apresenta grandes diferenças entre o preço que o comprador está disposto a pagar (oferta de compra) e aquele que o vendedor gostaria de vender (oferta de venda). Quando </w:t>
      </w:r>
      <w:r w:rsidRPr="007E3D0B">
        <w:rPr>
          <w:rFonts w:asciiTheme="minorHAnsi" w:hAnsiTheme="minorHAnsi" w:cstheme="minorHAnsi"/>
          <w:color w:val="000000" w:themeColor="text1"/>
        </w:rPr>
        <w:lastRenderedPageBreak/>
        <w:t>é necessário vender algum ativo num mercado ilíquido, tende a ser difícil conseguir realizar a venda sem sacrificar o preço do ativo negociado</w:t>
      </w:r>
      <w:bookmarkStart w:id="87" w:name="_Toc435189693"/>
      <w:bookmarkStart w:id="88" w:name="_Toc435202751"/>
      <w:bookmarkStart w:id="89" w:name="_Toc490036557"/>
      <w:r w:rsidRPr="007E3D0B">
        <w:rPr>
          <w:rFonts w:asciiTheme="minorHAnsi" w:hAnsiTheme="minorHAnsi" w:cstheme="minorHAnsi"/>
          <w:color w:val="000000" w:themeColor="text1"/>
        </w:rPr>
        <w:t>.</w:t>
      </w:r>
      <w:r w:rsidR="003C6BD0" w:rsidRPr="007E3D0B">
        <w:rPr>
          <w:rFonts w:asciiTheme="minorHAnsi" w:hAnsiTheme="minorHAnsi" w:cstheme="minorHAnsi"/>
          <w:color w:val="000000" w:themeColor="text1"/>
        </w:rPr>
        <w:t xml:space="preserve"> O risco de liquidez refere-se à possibilidade de um ativo financeiro não poder ser convertido em dinheiro com rapidez e sem perdas significativas de valor. Em outras palavras, é o risco de que o investidor enfrente dificuldades para vender ou resgatar determinado ativo no mercado, especialmente em momentos de instabilidade ou necessidade urgente de recursos</w:t>
      </w:r>
      <w:r w:rsidR="00134407" w:rsidRPr="007E3D0B">
        <w:rPr>
          <w:rFonts w:asciiTheme="minorHAnsi" w:hAnsiTheme="minorHAnsi" w:cstheme="minorHAnsi"/>
          <w:color w:val="000000" w:themeColor="text1"/>
        </w:rPr>
        <w:t>;</w:t>
      </w:r>
    </w:p>
    <w:p w14:paraId="19D18D7D" w14:textId="77777777" w:rsidR="00134407" w:rsidRPr="007E3D0B" w:rsidRDefault="00134407" w:rsidP="00134407">
      <w:pPr>
        <w:pStyle w:val="PargrafodaLista"/>
        <w:rPr>
          <w:rFonts w:asciiTheme="minorHAnsi" w:hAnsiTheme="minorHAnsi" w:cstheme="minorHAnsi"/>
          <w:b/>
          <w:color w:val="000000" w:themeColor="text1"/>
        </w:rPr>
      </w:pPr>
    </w:p>
    <w:p w14:paraId="172DA87D" w14:textId="77777777" w:rsidR="00134407" w:rsidRPr="007E3D0B" w:rsidRDefault="00677C33" w:rsidP="008B69D1">
      <w:pPr>
        <w:pStyle w:val="PargrafodaLista"/>
        <w:numPr>
          <w:ilvl w:val="0"/>
          <w:numId w:val="26"/>
        </w:numPr>
        <w:rPr>
          <w:rFonts w:asciiTheme="minorHAnsi" w:hAnsiTheme="minorHAnsi" w:cstheme="minorHAnsi"/>
          <w:color w:val="000000" w:themeColor="text1"/>
        </w:rPr>
      </w:pPr>
      <w:r w:rsidRPr="007E3D0B">
        <w:rPr>
          <w:rFonts w:asciiTheme="minorHAnsi" w:hAnsiTheme="minorHAnsi" w:cstheme="minorHAnsi"/>
          <w:b/>
          <w:color w:val="000000" w:themeColor="text1"/>
        </w:rPr>
        <w:t>Risco Operacional</w:t>
      </w:r>
      <w:r w:rsidR="009242A6" w:rsidRPr="007E3D0B">
        <w:rPr>
          <w:rFonts w:asciiTheme="minorHAnsi" w:hAnsiTheme="minorHAnsi" w:cstheme="minorHAnsi"/>
          <w:b/>
          <w:color w:val="000000" w:themeColor="text1"/>
        </w:rPr>
        <w:t xml:space="preserve"> – </w:t>
      </w:r>
      <w:r w:rsidR="00DB58C8" w:rsidRPr="007E3D0B">
        <w:rPr>
          <w:rFonts w:asciiTheme="minorHAnsi" w:hAnsiTheme="minorHAnsi" w:cstheme="minorHAnsi"/>
          <w:color w:val="000000" w:themeColor="text1"/>
        </w:rPr>
        <w:t xml:space="preserve">é o risco de perdas </w:t>
      </w:r>
      <w:r w:rsidR="00AA7464" w:rsidRPr="007E3D0B">
        <w:rPr>
          <w:rFonts w:asciiTheme="minorHAnsi" w:hAnsiTheme="minorHAnsi" w:cstheme="minorHAnsi"/>
          <w:color w:val="000000" w:themeColor="text1"/>
        </w:rPr>
        <w:t xml:space="preserve">financeiras </w:t>
      </w:r>
      <w:r w:rsidR="00DB58C8" w:rsidRPr="007E3D0B">
        <w:rPr>
          <w:rFonts w:asciiTheme="minorHAnsi" w:hAnsiTheme="minorHAnsi" w:cstheme="minorHAnsi"/>
          <w:color w:val="000000" w:themeColor="text1"/>
        </w:rPr>
        <w:t xml:space="preserve">causadas por </w:t>
      </w:r>
      <w:r w:rsidR="00AA7464" w:rsidRPr="007E3D0B">
        <w:rPr>
          <w:rFonts w:asciiTheme="minorHAnsi" w:hAnsiTheme="minorHAnsi" w:cstheme="minorHAnsi"/>
          <w:color w:val="000000" w:themeColor="text1"/>
        </w:rPr>
        <w:t>erros</w:t>
      </w:r>
      <w:r w:rsidR="00AA7464" w:rsidRPr="007E3D0B">
        <w:rPr>
          <w:rFonts w:asciiTheme="minorHAnsi" w:hAnsiTheme="minorHAnsi" w:cstheme="minorHAnsi"/>
          <w:b/>
          <w:color w:val="000000" w:themeColor="text1"/>
        </w:rPr>
        <w:t xml:space="preserve"> em</w:t>
      </w:r>
      <w:r w:rsidR="00AA7464" w:rsidRPr="007E3D0B">
        <w:rPr>
          <w:rFonts w:asciiTheme="minorHAnsi" w:hAnsiTheme="minorHAnsi" w:cstheme="minorHAnsi"/>
          <w:color w:val="000000" w:themeColor="text1"/>
        </w:rPr>
        <w:t xml:space="preserve"> </w:t>
      </w:r>
      <w:r w:rsidR="00DB58C8" w:rsidRPr="007E3D0B">
        <w:rPr>
          <w:rFonts w:asciiTheme="minorHAnsi" w:hAnsiTheme="minorHAnsi" w:cstheme="minorHAnsi"/>
          <w:color w:val="000000" w:themeColor="text1"/>
        </w:rPr>
        <w:t xml:space="preserve">processos, políticas, sistemas ou eventos falhos ou </w:t>
      </w:r>
      <w:r w:rsidR="00632ABD" w:rsidRPr="007E3D0B">
        <w:rPr>
          <w:rFonts w:asciiTheme="minorHAnsi" w:hAnsiTheme="minorHAnsi" w:cstheme="minorHAnsi"/>
          <w:color w:val="000000" w:themeColor="text1"/>
        </w:rPr>
        <w:t xml:space="preserve">falhas </w:t>
      </w:r>
      <w:r w:rsidR="00DB58C8" w:rsidRPr="007E3D0B">
        <w:rPr>
          <w:rFonts w:asciiTheme="minorHAnsi" w:hAnsiTheme="minorHAnsi" w:cstheme="minorHAnsi"/>
          <w:color w:val="000000" w:themeColor="text1"/>
        </w:rPr>
        <w:t>que interrompem as operações de negócios. Erros de funcionários, atividades criminosas como fraudes e eventos físicos estão entre os fatores que podem desencadear o risco operacional.</w:t>
      </w:r>
      <w:r w:rsidR="00A373BA" w:rsidRPr="007E3D0B">
        <w:rPr>
          <w:rFonts w:asciiTheme="minorHAnsi" w:hAnsiTheme="minorHAnsi" w:cstheme="minorHAnsi"/>
          <w:color w:val="000000" w:themeColor="text1"/>
        </w:rPr>
        <w:t xml:space="preserve"> Em outras palavras, o risco operacional é qualquer ameaça que possa afetar o funcionamento do </w:t>
      </w:r>
      <w:r w:rsidRPr="007E3D0B">
        <w:rPr>
          <w:rFonts w:asciiTheme="minorHAnsi" w:hAnsiTheme="minorHAnsi" w:cstheme="minorHAnsi"/>
          <w:b/>
          <w:color w:val="000000" w:themeColor="text1"/>
        </w:rPr>
        <w:t>INSTITUTO DE PREVIDÊNCIA MUNICIPAL DE SANTO ANTÔNIO DE POSSE - IPREM POSSE</w:t>
      </w:r>
      <w:r w:rsidR="00A373BA" w:rsidRPr="007E3D0B">
        <w:rPr>
          <w:rFonts w:asciiTheme="minorHAnsi" w:hAnsiTheme="minorHAnsi" w:cstheme="minorHAnsi"/>
          <w:color w:val="000000" w:themeColor="text1"/>
        </w:rPr>
        <w:t xml:space="preserve"> e reduzir a qualidade operacional como um todo.</w:t>
      </w:r>
      <w:r w:rsidR="0051480C" w:rsidRPr="007E3D0B">
        <w:rPr>
          <w:rFonts w:asciiTheme="minorHAnsi" w:hAnsiTheme="minorHAnsi" w:cstheme="minorHAnsi"/>
          <w:color w:val="000000" w:themeColor="text1"/>
        </w:rPr>
        <w:t xml:space="preserve"> O risco operacional refere-se à possibilidade de perdas financeiras decorrentes de falhas em processos internos, políticas, sistemas ou eventos externos que comprometem o funcionamento das operações de negócios. Entre os fatores que podem desencadear esse tipo de risco estão erros humanos, atividades ilícitas como fraudes, e eventos físicos inesperados. Em outras palavras, o risco operacional representa qualquer ameaça capaz de afetar o desempenho do </w:t>
      </w:r>
      <w:r w:rsidRPr="007E3D0B">
        <w:rPr>
          <w:rFonts w:asciiTheme="minorHAnsi" w:hAnsiTheme="minorHAnsi" w:cstheme="minorHAnsi"/>
          <w:b/>
          <w:color w:val="000000" w:themeColor="text1"/>
        </w:rPr>
        <w:t>INSTITUTO DE PREVIDÊNCIA MUNICIPAL DE SANTO ANTÔNIO DE POSSE - IPREM POSSE</w:t>
      </w:r>
      <w:r w:rsidR="0051480C" w:rsidRPr="007E3D0B">
        <w:rPr>
          <w:rFonts w:asciiTheme="minorHAnsi" w:hAnsiTheme="minorHAnsi" w:cstheme="minorHAnsi"/>
          <w:color w:val="000000" w:themeColor="text1"/>
        </w:rPr>
        <w:t xml:space="preserve"> e comprometer a qualidade das operações como um todo</w:t>
      </w:r>
      <w:r w:rsidR="00CB34E0" w:rsidRPr="007E3D0B">
        <w:rPr>
          <w:rFonts w:asciiTheme="minorHAnsi" w:hAnsiTheme="minorHAnsi" w:cstheme="minorHAnsi"/>
          <w:color w:val="000000" w:themeColor="text1"/>
        </w:rPr>
        <w:t>;</w:t>
      </w:r>
    </w:p>
    <w:p w14:paraId="4DA5801A" w14:textId="77777777" w:rsidR="00134407" w:rsidRPr="007E3D0B" w:rsidRDefault="00134407" w:rsidP="00134407">
      <w:pPr>
        <w:pStyle w:val="PargrafodaLista"/>
        <w:rPr>
          <w:rFonts w:asciiTheme="minorHAnsi" w:hAnsiTheme="minorHAnsi" w:cstheme="minorHAnsi"/>
          <w:b/>
          <w:color w:val="000000" w:themeColor="text1"/>
        </w:rPr>
      </w:pPr>
    </w:p>
    <w:p w14:paraId="6130443A" w14:textId="77777777" w:rsidR="009242A6" w:rsidRPr="007E3D0B" w:rsidRDefault="009242A6" w:rsidP="008B69D1">
      <w:pPr>
        <w:pStyle w:val="PargrafodaLista"/>
        <w:numPr>
          <w:ilvl w:val="0"/>
          <w:numId w:val="26"/>
        </w:numPr>
        <w:rPr>
          <w:rFonts w:asciiTheme="minorHAnsi" w:hAnsiTheme="minorHAnsi" w:cstheme="minorHAnsi"/>
          <w:color w:val="000000" w:themeColor="text1"/>
        </w:rPr>
      </w:pPr>
      <w:r w:rsidRPr="007E3D0B">
        <w:rPr>
          <w:rFonts w:asciiTheme="minorHAnsi" w:hAnsiTheme="minorHAnsi" w:cstheme="minorHAnsi"/>
          <w:b/>
          <w:color w:val="000000" w:themeColor="text1"/>
        </w:rPr>
        <w:t>Risco Legal</w:t>
      </w:r>
      <w:r w:rsidR="00313901" w:rsidRPr="007E3D0B">
        <w:rPr>
          <w:rFonts w:asciiTheme="minorHAnsi" w:hAnsiTheme="minorHAnsi" w:cstheme="minorHAnsi"/>
          <w:color w:val="000000" w:themeColor="text1"/>
        </w:rPr>
        <w:t xml:space="preserve"> - </w:t>
      </w:r>
      <w:r w:rsidR="00FC64EA" w:rsidRPr="007E3D0B">
        <w:rPr>
          <w:rFonts w:asciiTheme="minorHAnsi" w:hAnsiTheme="minorHAnsi" w:cstheme="minorHAnsi"/>
          <w:color w:val="000000" w:themeColor="text1"/>
        </w:rPr>
        <w:t xml:space="preserve">O risco legal é a possibilidade de uma organização sofrer perdas financeiras ou de reputação como resultado de uma violação da lei ou de um processo legal. Isso pode ser causado por uma variedade de fatores. </w:t>
      </w:r>
      <w:r w:rsidR="00A46BEE" w:rsidRPr="007E3D0B">
        <w:rPr>
          <w:rFonts w:asciiTheme="minorHAnsi" w:hAnsiTheme="minorHAnsi" w:cstheme="minorHAnsi"/>
          <w:color w:val="000000" w:themeColor="text1"/>
        </w:rPr>
        <w:t xml:space="preserve">O risco legal pode ter um impacto significativo nas operações podendo levar a multas, indenizações, </w:t>
      </w:r>
      <w:r w:rsidR="00BE63D6" w:rsidRPr="007E3D0B">
        <w:rPr>
          <w:rFonts w:asciiTheme="minorHAnsi" w:hAnsiTheme="minorHAnsi" w:cstheme="minorHAnsi"/>
          <w:color w:val="000000" w:themeColor="text1"/>
        </w:rPr>
        <w:t>sindicâncias e processos administrativos</w:t>
      </w:r>
      <w:r w:rsidR="00A46BEE" w:rsidRPr="007E3D0B">
        <w:rPr>
          <w:rFonts w:asciiTheme="minorHAnsi" w:hAnsiTheme="minorHAnsi" w:cstheme="minorHAnsi"/>
          <w:color w:val="000000" w:themeColor="text1"/>
        </w:rPr>
        <w:t>.</w:t>
      </w:r>
      <w:r w:rsidR="0051480C" w:rsidRPr="007E3D0B">
        <w:rPr>
          <w:rFonts w:asciiTheme="minorHAnsi" w:hAnsiTheme="minorHAnsi" w:cstheme="minorHAnsi"/>
          <w:color w:val="000000" w:themeColor="text1"/>
        </w:rPr>
        <w:t xml:space="preserve"> O risco legal refere-se à possibilidade de uma organização enfrentar perdas financeiras ou danos à reputação em decorrência de violações legais, litígios ou processos judiciais. Esse risco pode surgir por diversos fatores, como descumprimento de normas, contratos mal elaborados, práticas comerciais inadequadas ou mudanças na legislação. Seu impacto pode ser significativo, afetando diretamente as operações da empresa e resultando em multas, indenizações, investigações, processos administrativos e até restrições regulatórias.</w:t>
      </w:r>
    </w:p>
    <w:p w14:paraId="13B65CA9" w14:textId="77777777" w:rsidR="00635488" w:rsidRPr="007E3D0B" w:rsidRDefault="00635488" w:rsidP="00635488">
      <w:pPr>
        <w:rPr>
          <w:rFonts w:asciiTheme="minorHAnsi" w:hAnsiTheme="minorHAnsi" w:cstheme="minorHAnsi"/>
          <w:color w:val="000000" w:themeColor="text1"/>
        </w:rPr>
      </w:pPr>
    </w:p>
    <w:p w14:paraId="560D6EF9" w14:textId="77777777" w:rsidR="00500AE2" w:rsidRPr="007E3D0B" w:rsidRDefault="00281D40" w:rsidP="00A468C9">
      <w:pPr>
        <w:pStyle w:val="Ttulo2"/>
        <w:rPr>
          <w:rFonts w:asciiTheme="minorHAnsi" w:hAnsiTheme="minorHAnsi" w:cstheme="minorHAnsi"/>
          <w:color w:val="000000" w:themeColor="text1"/>
          <w:sz w:val="22"/>
          <w:szCs w:val="22"/>
        </w:rPr>
      </w:pPr>
      <w:bookmarkStart w:id="90" w:name="_Toc118105148"/>
      <w:r w:rsidRPr="007E3D0B">
        <w:rPr>
          <w:rFonts w:asciiTheme="minorHAnsi" w:hAnsiTheme="minorHAnsi" w:cstheme="minorHAnsi"/>
          <w:color w:val="000000" w:themeColor="text1"/>
          <w:sz w:val="22"/>
          <w:szCs w:val="22"/>
        </w:rPr>
        <w:t>C</w:t>
      </w:r>
      <w:bookmarkEnd w:id="87"/>
      <w:r w:rsidRPr="007E3D0B">
        <w:rPr>
          <w:rFonts w:asciiTheme="minorHAnsi" w:hAnsiTheme="minorHAnsi" w:cstheme="minorHAnsi"/>
          <w:color w:val="000000" w:themeColor="text1"/>
          <w:sz w:val="22"/>
          <w:szCs w:val="22"/>
        </w:rPr>
        <w:t>ontrole do Risco de Mercado</w:t>
      </w:r>
      <w:bookmarkEnd w:id="88"/>
      <w:bookmarkEnd w:id="89"/>
      <w:bookmarkEnd w:id="90"/>
    </w:p>
    <w:p w14:paraId="5C672D68" w14:textId="77777777" w:rsidR="00281D40" w:rsidRPr="007E3D0B" w:rsidRDefault="00500AE2" w:rsidP="00281D40">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adota o </w:t>
      </w:r>
      <w:proofErr w:type="spellStart"/>
      <w:r w:rsidRPr="007E3D0B">
        <w:rPr>
          <w:rFonts w:asciiTheme="minorHAnsi" w:hAnsiTheme="minorHAnsi" w:cstheme="minorHAnsi"/>
          <w:b/>
          <w:bCs/>
          <w:color w:val="000000" w:themeColor="text1"/>
        </w:rPr>
        <w:t>VaR</w:t>
      </w:r>
      <w:proofErr w:type="spellEnd"/>
      <w:r w:rsidRPr="007E3D0B">
        <w:rPr>
          <w:rFonts w:asciiTheme="minorHAnsi" w:hAnsiTheme="minorHAnsi" w:cstheme="minorHAnsi"/>
          <w:b/>
          <w:bCs/>
          <w:color w:val="000000" w:themeColor="text1"/>
        </w:rPr>
        <w:t xml:space="preserve"> - </w:t>
      </w:r>
      <w:proofErr w:type="spellStart"/>
      <w:r w:rsidRPr="007E3D0B">
        <w:rPr>
          <w:rFonts w:asciiTheme="minorHAnsi" w:hAnsiTheme="minorHAnsi" w:cstheme="minorHAnsi"/>
          <w:b/>
          <w:bCs/>
          <w:i/>
          <w:iCs/>
          <w:color w:val="000000" w:themeColor="text1"/>
        </w:rPr>
        <w:t>Value</w:t>
      </w:r>
      <w:proofErr w:type="spellEnd"/>
      <w:r w:rsidRPr="007E3D0B">
        <w:rPr>
          <w:rFonts w:asciiTheme="minorHAnsi" w:hAnsiTheme="minorHAnsi" w:cstheme="minorHAnsi"/>
          <w:b/>
          <w:bCs/>
          <w:i/>
          <w:iCs/>
          <w:color w:val="000000" w:themeColor="text1"/>
        </w:rPr>
        <w:t>-</w:t>
      </w:r>
      <w:proofErr w:type="spellStart"/>
      <w:r w:rsidRPr="007E3D0B">
        <w:rPr>
          <w:rFonts w:asciiTheme="minorHAnsi" w:hAnsiTheme="minorHAnsi" w:cstheme="minorHAnsi"/>
          <w:b/>
          <w:bCs/>
          <w:i/>
          <w:iCs/>
          <w:color w:val="000000" w:themeColor="text1"/>
        </w:rPr>
        <w:t>at-Risk</w:t>
      </w:r>
      <w:proofErr w:type="spellEnd"/>
      <w:r w:rsidRPr="007E3D0B">
        <w:rPr>
          <w:rFonts w:asciiTheme="minorHAnsi" w:hAnsiTheme="minorHAnsi" w:cstheme="minorHAnsi"/>
          <w:bCs/>
          <w:color w:val="000000" w:themeColor="text1"/>
        </w:rPr>
        <w:t xml:space="preserve"> para controle do risco de mercado, utilizando os seguintes parâmetros para o cálculo:</w:t>
      </w:r>
    </w:p>
    <w:p w14:paraId="7D45DEA5" w14:textId="77777777" w:rsidR="008655FF"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utiliza o modelo de </w:t>
      </w:r>
      <w:proofErr w:type="spellStart"/>
      <w:r w:rsidRPr="007E3D0B">
        <w:rPr>
          <w:rFonts w:asciiTheme="minorHAnsi" w:hAnsiTheme="minorHAnsi" w:cstheme="minorHAnsi"/>
          <w:color w:val="000000" w:themeColor="text1"/>
        </w:rPr>
        <w:t>Value</w:t>
      </w:r>
      <w:proofErr w:type="spellEnd"/>
      <w:r w:rsidRPr="007E3D0B">
        <w:rPr>
          <w:rFonts w:asciiTheme="minorHAnsi" w:hAnsiTheme="minorHAnsi" w:cstheme="minorHAnsi"/>
          <w:color w:val="000000" w:themeColor="text1"/>
        </w:rPr>
        <w:t>-</w:t>
      </w:r>
      <w:proofErr w:type="spellStart"/>
      <w:r w:rsidRPr="007E3D0B">
        <w:rPr>
          <w:rFonts w:asciiTheme="minorHAnsi" w:hAnsiTheme="minorHAnsi" w:cstheme="minorHAnsi"/>
          <w:color w:val="000000" w:themeColor="text1"/>
        </w:rPr>
        <w:t>at-Risk</w:t>
      </w:r>
      <w:proofErr w:type="spellEnd"/>
      <w:r w:rsidRPr="007E3D0B">
        <w:rPr>
          <w:rFonts w:asciiTheme="minorHAnsi" w:hAnsiTheme="minorHAnsi" w:cstheme="minorHAnsi"/>
          <w:color w:val="000000" w:themeColor="text1"/>
        </w:rPr>
        <w:t xml:space="preserve">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como principal ferramenta para o controle do risco de mercado. Essa métrica é amplamente reconhecida por sua capacidade de quantificar a exposição da carteira a variações adversas de mercado, estimando a perda máxima potencial esperada dentro de um determinado horizonte de tempo e com base em um intervalo de confiança estatístico previamente definido.</w:t>
      </w:r>
    </w:p>
    <w:p w14:paraId="7C7B6769" w14:textId="77777777" w:rsidR="008655FF"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 xml:space="preserve">O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xml:space="preserve"> permite à organização antecipar cenários desfavoráveis, avaliar o impacto de eventos extremos e adotar estratégias mitigadoras de forma proativa, contribuindo para uma gestão de risco mais robusta e eficiente.</w:t>
      </w:r>
    </w:p>
    <w:p w14:paraId="253B1092" w14:textId="77777777" w:rsidR="008655FF" w:rsidRPr="007E3D0B" w:rsidRDefault="008655FF" w:rsidP="00811A52">
      <w:pPr>
        <w:ind w:left="708"/>
        <w:rPr>
          <w:rFonts w:asciiTheme="minorHAnsi" w:hAnsiTheme="minorHAnsi" w:cstheme="minorHAnsi"/>
          <w:b/>
          <w:i/>
          <w:iCs/>
          <w:color w:val="000000" w:themeColor="text1"/>
        </w:rPr>
      </w:pPr>
      <w:r w:rsidRPr="007E3D0B">
        <w:rPr>
          <w:rFonts w:asciiTheme="minorHAnsi" w:hAnsiTheme="minorHAnsi" w:cstheme="minorHAnsi"/>
          <w:b/>
          <w:i/>
          <w:iCs/>
          <w:color w:val="000000" w:themeColor="text1"/>
        </w:rPr>
        <w:t>Metodologia de Cálculo</w:t>
      </w:r>
    </w:p>
    <w:p w14:paraId="65F77A64" w14:textId="77777777" w:rsidR="00811A52"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cálculo do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xml:space="preserve"> pode ser realizado por meio de diferentes abordagens, classificadas em dois grandes grupos:</w:t>
      </w:r>
    </w:p>
    <w:p w14:paraId="621F47DC" w14:textId="77777777" w:rsidR="00811A52" w:rsidRPr="007E3D0B" w:rsidRDefault="008655FF" w:rsidP="008B69D1">
      <w:pPr>
        <w:pStyle w:val="PargrafodaLista"/>
        <w:numPr>
          <w:ilvl w:val="0"/>
          <w:numId w:val="27"/>
        </w:numPr>
        <w:rPr>
          <w:rFonts w:asciiTheme="minorHAnsi" w:hAnsiTheme="minorHAnsi" w:cstheme="minorHAnsi"/>
          <w:color w:val="000000" w:themeColor="text1"/>
        </w:rPr>
      </w:pPr>
      <w:proofErr w:type="spellStart"/>
      <w:r w:rsidRPr="007E3D0B">
        <w:rPr>
          <w:rFonts w:asciiTheme="minorHAnsi" w:hAnsiTheme="minorHAnsi" w:cstheme="minorHAnsi"/>
          <w:b/>
          <w:color w:val="000000" w:themeColor="text1"/>
        </w:rPr>
        <w:t>VaR</w:t>
      </w:r>
      <w:proofErr w:type="spellEnd"/>
      <w:r w:rsidRPr="007E3D0B">
        <w:rPr>
          <w:rFonts w:asciiTheme="minorHAnsi" w:hAnsiTheme="minorHAnsi" w:cstheme="minorHAnsi"/>
          <w:b/>
          <w:color w:val="000000" w:themeColor="text1"/>
        </w:rPr>
        <w:t xml:space="preserve"> Paramétrico:</w:t>
      </w:r>
      <w:r w:rsidRPr="007E3D0B">
        <w:rPr>
          <w:rFonts w:asciiTheme="minorHAnsi" w:hAnsiTheme="minorHAnsi" w:cstheme="minorHAnsi"/>
          <w:color w:val="000000" w:themeColor="text1"/>
        </w:rPr>
        <w:t xml:space="preserve"> Utiliza pressupostos estatísticos sobre a distribuição dos retornos dos ativos (geralmente normal), aplicando modelos como o de variância-covariância para estimar a perda esperada. É eficaz em ambientes com comportamento bem definido e baixa volatilidade</w:t>
      </w:r>
      <w:r w:rsidR="00811A52" w:rsidRPr="007E3D0B">
        <w:rPr>
          <w:rFonts w:asciiTheme="minorHAnsi" w:hAnsiTheme="minorHAnsi" w:cstheme="minorHAnsi"/>
          <w:color w:val="000000" w:themeColor="text1"/>
        </w:rPr>
        <w:t>;</w:t>
      </w:r>
    </w:p>
    <w:p w14:paraId="6514B496" w14:textId="77777777" w:rsidR="00811A52" w:rsidRPr="007E3D0B" w:rsidRDefault="00811A52" w:rsidP="00811A52">
      <w:pPr>
        <w:pStyle w:val="PargrafodaLista"/>
        <w:rPr>
          <w:rFonts w:asciiTheme="minorHAnsi" w:hAnsiTheme="minorHAnsi" w:cstheme="minorHAnsi"/>
          <w:color w:val="000000" w:themeColor="text1"/>
        </w:rPr>
      </w:pPr>
    </w:p>
    <w:p w14:paraId="6660CD62" w14:textId="77777777" w:rsidR="0084796E" w:rsidRPr="007E3D0B" w:rsidRDefault="008655FF" w:rsidP="008B69D1">
      <w:pPr>
        <w:pStyle w:val="PargrafodaLista"/>
        <w:numPr>
          <w:ilvl w:val="0"/>
          <w:numId w:val="27"/>
        </w:numPr>
        <w:rPr>
          <w:rFonts w:asciiTheme="minorHAnsi" w:hAnsiTheme="minorHAnsi" w:cstheme="minorHAnsi"/>
          <w:color w:val="000000" w:themeColor="text1"/>
        </w:rPr>
      </w:pPr>
      <w:proofErr w:type="spellStart"/>
      <w:r w:rsidRPr="007E3D0B">
        <w:rPr>
          <w:rFonts w:asciiTheme="minorHAnsi" w:hAnsiTheme="minorHAnsi" w:cstheme="minorHAnsi"/>
          <w:b/>
          <w:color w:val="000000" w:themeColor="text1"/>
        </w:rPr>
        <w:t>VaR</w:t>
      </w:r>
      <w:proofErr w:type="spellEnd"/>
      <w:r w:rsidRPr="007E3D0B">
        <w:rPr>
          <w:rFonts w:asciiTheme="minorHAnsi" w:hAnsiTheme="minorHAnsi" w:cstheme="minorHAnsi"/>
          <w:b/>
          <w:color w:val="000000" w:themeColor="text1"/>
        </w:rPr>
        <w:t xml:space="preserve"> Não Paramétrico (Simulações):</w:t>
      </w:r>
      <w:r w:rsidRPr="007E3D0B">
        <w:rPr>
          <w:rFonts w:asciiTheme="minorHAnsi" w:hAnsiTheme="minorHAnsi" w:cstheme="minorHAnsi"/>
          <w:color w:val="000000" w:themeColor="text1"/>
        </w:rPr>
        <w:t xml:space="preserve"> Dispensa qualquer hipótese sobre a distribuição dos retornos. Baseia-se em técnicas empíricas, como:</w:t>
      </w:r>
    </w:p>
    <w:p w14:paraId="2AB42236" w14:textId="77777777" w:rsidR="0084796E" w:rsidRPr="007E3D0B" w:rsidRDefault="0084796E" w:rsidP="0084796E">
      <w:pPr>
        <w:pStyle w:val="PargrafodaLista"/>
        <w:rPr>
          <w:rFonts w:asciiTheme="minorHAnsi" w:hAnsiTheme="minorHAnsi" w:cstheme="minorHAnsi"/>
          <w:b/>
          <w:color w:val="000000" w:themeColor="text1"/>
        </w:rPr>
      </w:pPr>
    </w:p>
    <w:p w14:paraId="5B9143E3" w14:textId="77777777" w:rsidR="0084796E" w:rsidRPr="007E3D0B" w:rsidRDefault="008655FF" w:rsidP="008B69D1">
      <w:pPr>
        <w:pStyle w:val="PargrafodaLista"/>
        <w:numPr>
          <w:ilvl w:val="1"/>
          <w:numId w:val="27"/>
        </w:numPr>
        <w:rPr>
          <w:rFonts w:asciiTheme="minorHAnsi" w:hAnsiTheme="minorHAnsi" w:cstheme="minorHAnsi"/>
          <w:color w:val="000000" w:themeColor="text1"/>
        </w:rPr>
      </w:pPr>
      <w:r w:rsidRPr="007E3D0B">
        <w:rPr>
          <w:rFonts w:asciiTheme="minorHAnsi" w:hAnsiTheme="minorHAnsi" w:cstheme="minorHAnsi"/>
          <w:b/>
          <w:color w:val="000000" w:themeColor="text1"/>
        </w:rPr>
        <w:t>Simulação Histórica:</w:t>
      </w:r>
      <w:r w:rsidRPr="007E3D0B">
        <w:rPr>
          <w:rFonts w:asciiTheme="minorHAnsi" w:hAnsiTheme="minorHAnsi" w:cstheme="minorHAnsi"/>
          <w:color w:val="000000" w:themeColor="text1"/>
        </w:rPr>
        <w:t xml:space="preserve"> Analisa retornos passados para projetar perdas potenciais futuras.</w:t>
      </w:r>
    </w:p>
    <w:p w14:paraId="6EE6463C" w14:textId="77777777" w:rsidR="008655FF" w:rsidRPr="007E3D0B" w:rsidRDefault="008655FF" w:rsidP="008B69D1">
      <w:pPr>
        <w:pStyle w:val="PargrafodaLista"/>
        <w:numPr>
          <w:ilvl w:val="1"/>
          <w:numId w:val="27"/>
        </w:numPr>
        <w:rPr>
          <w:rFonts w:asciiTheme="minorHAnsi" w:hAnsiTheme="minorHAnsi" w:cstheme="minorHAnsi"/>
          <w:color w:val="000000" w:themeColor="text1"/>
        </w:rPr>
      </w:pPr>
      <w:r w:rsidRPr="007E3D0B">
        <w:rPr>
          <w:rFonts w:asciiTheme="minorHAnsi" w:hAnsiTheme="minorHAnsi" w:cstheme="minorHAnsi"/>
          <w:b/>
          <w:color w:val="000000" w:themeColor="text1"/>
        </w:rPr>
        <w:t>Simulação de Monte Carlo</w:t>
      </w:r>
      <w:r w:rsidRPr="007E3D0B">
        <w:rPr>
          <w:rFonts w:asciiTheme="minorHAnsi" w:hAnsiTheme="minorHAnsi" w:cstheme="minorHAnsi"/>
          <w:color w:val="000000" w:themeColor="text1"/>
        </w:rPr>
        <w:t>: Gera múltiplos cenários de retornos aleatórios com base em parâmetros de volatilidade, correlação e tendência, permitindo avaliar a dispersão das perdas.</w:t>
      </w:r>
    </w:p>
    <w:p w14:paraId="132165C8" w14:textId="77777777" w:rsidR="0084796E" w:rsidRPr="007E3D0B" w:rsidRDefault="0084796E" w:rsidP="00CB34E0">
      <w:pPr>
        <w:rPr>
          <w:rFonts w:asciiTheme="minorHAnsi" w:hAnsiTheme="minorHAnsi" w:cstheme="minorHAnsi"/>
          <w:b/>
          <w:color w:val="000000" w:themeColor="text1"/>
        </w:rPr>
      </w:pPr>
    </w:p>
    <w:p w14:paraId="034A7869" w14:textId="77777777" w:rsidR="008655FF" w:rsidRPr="007E3D0B" w:rsidRDefault="008655FF" w:rsidP="0084796E">
      <w:pPr>
        <w:ind w:left="708"/>
        <w:rPr>
          <w:rFonts w:asciiTheme="minorHAnsi" w:hAnsiTheme="minorHAnsi" w:cstheme="minorHAnsi"/>
          <w:b/>
          <w:i/>
          <w:iCs/>
          <w:color w:val="000000" w:themeColor="text1"/>
        </w:rPr>
      </w:pPr>
      <w:r w:rsidRPr="007E3D0B">
        <w:rPr>
          <w:rFonts w:asciiTheme="minorHAnsi" w:hAnsiTheme="minorHAnsi" w:cstheme="minorHAnsi"/>
          <w:b/>
          <w:i/>
          <w:iCs/>
          <w:color w:val="000000" w:themeColor="text1"/>
        </w:rPr>
        <w:t>Aplicação na Carteira do RPPS</w:t>
      </w:r>
    </w:p>
    <w:p w14:paraId="5AFA03F3" w14:textId="77777777" w:rsidR="008655FF"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adota o indicador </w:t>
      </w:r>
      <w:proofErr w:type="spellStart"/>
      <w:r w:rsidRPr="007E3D0B">
        <w:rPr>
          <w:rFonts w:asciiTheme="minorHAnsi" w:hAnsiTheme="minorHAnsi" w:cstheme="minorHAnsi"/>
          <w:color w:val="000000" w:themeColor="text1"/>
        </w:rPr>
        <w:t>Value</w:t>
      </w:r>
      <w:proofErr w:type="spellEnd"/>
      <w:r w:rsidRPr="007E3D0B">
        <w:rPr>
          <w:rFonts w:asciiTheme="minorHAnsi" w:hAnsiTheme="minorHAnsi" w:cstheme="minorHAnsi"/>
          <w:color w:val="000000" w:themeColor="text1"/>
        </w:rPr>
        <w:t>-</w:t>
      </w:r>
      <w:proofErr w:type="spellStart"/>
      <w:r w:rsidRPr="007E3D0B">
        <w:rPr>
          <w:rFonts w:asciiTheme="minorHAnsi" w:hAnsiTheme="minorHAnsi" w:cstheme="minorHAnsi"/>
          <w:color w:val="000000" w:themeColor="text1"/>
        </w:rPr>
        <w:t>at-Risk</w:t>
      </w:r>
      <w:proofErr w:type="spellEnd"/>
      <w:r w:rsidRPr="007E3D0B">
        <w:rPr>
          <w:rFonts w:asciiTheme="minorHAnsi" w:hAnsiTheme="minorHAnsi" w:cstheme="minorHAnsi"/>
          <w:color w:val="000000" w:themeColor="text1"/>
        </w:rPr>
        <w:t xml:space="preserve">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como ferramenta de controle e monitoramento do risco de mercado em sua carteira de investimentos.</w:t>
      </w:r>
    </w:p>
    <w:p w14:paraId="447656C6" w14:textId="77777777" w:rsidR="0084796E"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Nesta análise, o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xml:space="preserve"> </w:t>
      </w:r>
      <w:r w:rsidR="00A3460A" w:rsidRPr="007E3D0B">
        <w:rPr>
          <w:rFonts w:asciiTheme="minorHAnsi" w:hAnsiTheme="minorHAnsi" w:cstheme="minorHAnsi"/>
          <w:color w:val="000000" w:themeColor="text1"/>
        </w:rPr>
        <w:t>é</w:t>
      </w:r>
      <w:r w:rsidRPr="007E3D0B">
        <w:rPr>
          <w:rFonts w:asciiTheme="minorHAnsi" w:hAnsiTheme="minorHAnsi" w:cstheme="minorHAnsi"/>
          <w:color w:val="000000" w:themeColor="text1"/>
        </w:rPr>
        <w:t xml:space="preserve"> calculado para todos os ativos que compõem o portfólio do Regime Próprio de Previdência Social (RPPS)</w:t>
      </w:r>
      <w:r w:rsidR="00A3460A" w:rsidRPr="007E3D0B">
        <w:rPr>
          <w:rFonts w:asciiTheme="minorHAnsi" w:hAnsiTheme="minorHAnsi" w:cstheme="minorHAnsi"/>
          <w:color w:val="000000" w:themeColor="text1"/>
        </w:rPr>
        <w:t xml:space="preserve"> e e</w:t>
      </w:r>
      <w:r w:rsidRPr="007E3D0B">
        <w:rPr>
          <w:rFonts w:asciiTheme="minorHAnsi" w:hAnsiTheme="minorHAnsi" w:cstheme="minorHAnsi"/>
          <w:color w:val="000000" w:themeColor="text1"/>
        </w:rPr>
        <w:t>ssa abordagem permite:</w:t>
      </w:r>
    </w:p>
    <w:p w14:paraId="0AEBBE14" w14:textId="77777777" w:rsidR="0084796E" w:rsidRPr="007E3D0B" w:rsidRDefault="008655FF" w:rsidP="008B69D1">
      <w:pPr>
        <w:pStyle w:val="PargrafodaLista"/>
        <w:numPr>
          <w:ilvl w:val="0"/>
          <w:numId w:val="28"/>
        </w:numPr>
        <w:rPr>
          <w:rFonts w:asciiTheme="minorHAnsi" w:hAnsiTheme="minorHAnsi" w:cstheme="minorHAnsi"/>
          <w:color w:val="000000" w:themeColor="text1"/>
        </w:rPr>
      </w:pPr>
      <w:r w:rsidRPr="007E3D0B">
        <w:rPr>
          <w:rFonts w:asciiTheme="minorHAnsi" w:hAnsiTheme="minorHAnsi" w:cstheme="minorHAnsi"/>
          <w:color w:val="000000" w:themeColor="text1"/>
        </w:rPr>
        <w:t>Identificar os limites de exposição ao risco sistêmico;</w:t>
      </w:r>
    </w:p>
    <w:p w14:paraId="10E7B812" w14:textId="77777777" w:rsidR="0084796E" w:rsidRPr="007E3D0B" w:rsidRDefault="008655FF" w:rsidP="008B69D1">
      <w:pPr>
        <w:pStyle w:val="PargrafodaLista"/>
        <w:numPr>
          <w:ilvl w:val="0"/>
          <w:numId w:val="28"/>
        </w:numPr>
        <w:rPr>
          <w:rFonts w:asciiTheme="minorHAnsi" w:hAnsiTheme="minorHAnsi" w:cstheme="minorHAnsi"/>
          <w:color w:val="000000" w:themeColor="text1"/>
        </w:rPr>
      </w:pPr>
      <w:r w:rsidRPr="007E3D0B">
        <w:rPr>
          <w:rFonts w:asciiTheme="minorHAnsi" w:hAnsiTheme="minorHAnsi" w:cstheme="minorHAnsi"/>
          <w:color w:val="000000" w:themeColor="text1"/>
        </w:rPr>
        <w:t>Avaliar a tolerância da carteira a perdas em cenários adversos;</w:t>
      </w:r>
    </w:p>
    <w:p w14:paraId="248D43DC" w14:textId="77777777" w:rsidR="008655FF" w:rsidRPr="007E3D0B" w:rsidRDefault="008655FF" w:rsidP="008B69D1">
      <w:pPr>
        <w:pStyle w:val="PargrafodaLista"/>
        <w:numPr>
          <w:ilvl w:val="0"/>
          <w:numId w:val="28"/>
        </w:numPr>
        <w:rPr>
          <w:rFonts w:asciiTheme="minorHAnsi" w:hAnsiTheme="minorHAnsi" w:cstheme="minorHAnsi"/>
          <w:color w:val="000000" w:themeColor="text1"/>
        </w:rPr>
      </w:pPr>
      <w:r w:rsidRPr="007E3D0B">
        <w:rPr>
          <w:rFonts w:asciiTheme="minorHAnsi" w:hAnsiTheme="minorHAnsi" w:cstheme="minorHAnsi"/>
          <w:color w:val="000000" w:themeColor="text1"/>
        </w:rPr>
        <w:t>Subsidiar decisões estratégicas de alocação e gestão de ativos.</w:t>
      </w:r>
    </w:p>
    <w:p w14:paraId="5A712709" w14:textId="77777777" w:rsidR="00531883"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Essa prática reforça o compromisso do</w:t>
      </w:r>
      <w:r w:rsidR="00531883" w:rsidRPr="007E3D0B">
        <w:rPr>
          <w:rFonts w:asciiTheme="minorHAnsi" w:hAnsiTheme="minorHAnsi" w:cstheme="minorHAnsi"/>
          <w:color w:val="000000" w:themeColor="text1"/>
        </w:rPr>
        <w:t xml:space="preserve"> </w:t>
      </w:r>
      <w:r w:rsidRPr="007E3D0B">
        <w:rPr>
          <w:rFonts w:asciiTheme="minorHAnsi" w:hAnsiTheme="minorHAnsi" w:cstheme="minorHAnsi"/>
          <w:b/>
          <w:color w:val="000000" w:themeColor="text1"/>
        </w:rPr>
        <w:t>INSTITUTO DE PREVIDÊNCIA MUNICIPAL DE SANTO ANTÔNIO DE POSSE - IPREM POSSE</w:t>
      </w:r>
      <w:r w:rsidR="00531883"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com:</w:t>
      </w:r>
    </w:p>
    <w:p w14:paraId="41F3757D" w14:textId="77777777" w:rsidR="00531883" w:rsidRPr="007E3D0B" w:rsidRDefault="008655FF" w:rsidP="008B69D1">
      <w:pPr>
        <w:pStyle w:val="PargrafodaLista"/>
        <w:numPr>
          <w:ilvl w:val="0"/>
          <w:numId w:val="29"/>
        </w:numPr>
        <w:rPr>
          <w:rFonts w:asciiTheme="minorHAnsi" w:hAnsiTheme="minorHAnsi" w:cstheme="minorHAnsi"/>
          <w:color w:val="000000" w:themeColor="text1"/>
        </w:rPr>
      </w:pPr>
      <w:r w:rsidRPr="007E3D0B">
        <w:rPr>
          <w:rFonts w:asciiTheme="minorHAnsi" w:hAnsiTheme="minorHAnsi" w:cstheme="minorHAnsi"/>
          <w:color w:val="000000" w:themeColor="text1"/>
        </w:rPr>
        <w:t>A governança financeira responsável;</w:t>
      </w:r>
    </w:p>
    <w:p w14:paraId="33EF017F" w14:textId="77777777" w:rsidR="00531883" w:rsidRPr="007E3D0B" w:rsidRDefault="008655FF" w:rsidP="008B69D1">
      <w:pPr>
        <w:pStyle w:val="PargrafodaLista"/>
        <w:numPr>
          <w:ilvl w:val="0"/>
          <w:numId w:val="29"/>
        </w:numPr>
        <w:rPr>
          <w:rFonts w:asciiTheme="minorHAnsi" w:hAnsiTheme="minorHAnsi" w:cstheme="minorHAnsi"/>
          <w:color w:val="000000" w:themeColor="text1"/>
        </w:rPr>
      </w:pPr>
      <w:r w:rsidRPr="007E3D0B">
        <w:rPr>
          <w:rFonts w:asciiTheme="minorHAnsi" w:hAnsiTheme="minorHAnsi" w:cstheme="minorHAnsi"/>
          <w:color w:val="000000" w:themeColor="text1"/>
        </w:rPr>
        <w:t>A transparência na administração dos recursos;</w:t>
      </w:r>
    </w:p>
    <w:p w14:paraId="73192ABE" w14:textId="77777777" w:rsidR="008655FF" w:rsidRPr="007E3D0B" w:rsidRDefault="008655FF" w:rsidP="008B69D1">
      <w:pPr>
        <w:pStyle w:val="PargrafodaLista"/>
        <w:numPr>
          <w:ilvl w:val="0"/>
          <w:numId w:val="29"/>
        </w:numPr>
        <w:rPr>
          <w:rFonts w:asciiTheme="minorHAnsi" w:hAnsiTheme="minorHAnsi" w:cstheme="minorHAnsi"/>
          <w:color w:val="000000" w:themeColor="text1"/>
        </w:rPr>
      </w:pPr>
      <w:r w:rsidRPr="007E3D0B">
        <w:rPr>
          <w:rFonts w:asciiTheme="minorHAnsi" w:hAnsiTheme="minorHAnsi" w:cstheme="minorHAnsi"/>
          <w:color w:val="000000" w:themeColor="text1"/>
        </w:rPr>
        <w:t>A solidez e sustentabilidade da política de investimentos previdenciária.</w:t>
      </w:r>
    </w:p>
    <w:p w14:paraId="2789B169" w14:textId="77777777" w:rsidR="0018756A" w:rsidRPr="007E3D0B" w:rsidRDefault="008655F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Conforme estabelecido n</w:t>
      </w:r>
      <w:r w:rsidR="00531883" w:rsidRPr="007E3D0B">
        <w:rPr>
          <w:rFonts w:asciiTheme="minorHAnsi" w:hAnsiTheme="minorHAnsi" w:cstheme="minorHAnsi"/>
          <w:color w:val="000000" w:themeColor="text1"/>
        </w:rPr>
        <w:t>esta Política</w:t>
      </w:r>
      <w:r w:rsidRPr="007E3D0B">
        <w:rPr>
          <w:rFonts w:asciiTheme="minorHAnsi" w:hAnsiTheme="minorHAnsi" w:cstheme="minorHAnsi"/>
          <w:color w:val="000000" w:themeColor="text1"/>
        </w:rPr>
        <w:t xml:space="preserve">, o cálculo do </w:t>
      </w:r>
      <w:proofErr w:type="spellStart"/>
      <w:r w:rsidRPr="007E3D0B">
        <w:rPr>
          <w:rFonts w:asciiTheme="minorHAnsi" w:hAnsiTheme="minorHAnsi" w:cstheme="minorHAnsi"/>
          <w:color w:val="000000" w:themeColor="text1"/>
        </w:rPr>
        <w:t>VaR</w:t>
      </w:r>
      <w:proofErr w:type="spellEnd"/>
      <w:r w:rsidRPr="007E3D0B">
        <w:rPr>
          <w:rFonts w:asciiTheme="minorHAnsi" w:hAnsiTheme="minorHAnsi" w:cstheme="minorHAnsi"/>
          <w:color w:val="000000" w:themeColor="text1"/>
        </w:rPr>
        <w:t xml:space="preserve"> segue os seguintes parâmetros:</w:t>
      </w:r>
    </w:p>
    <w:p w14:paraId="6867E2AF" w14:textId="77777777" w:rsidR="0018756A" w:rsidRPr="007E3D0B" w:rsidRDefault="008655FF" w:rsidP="008B69D1">
      <w:pPr>
        <w:pStyle w:val="PargrafodaLista"/>
        <w:numPr>
          <w:ilvl w:val="0"/>
          <w:numId w:val="30"/>
        </w:numPr>
        <w:rPr>
          <w:rFonts w:asciiTheme="minorHAnsi" w:hAnsiTheme="minorHAnsi" w:cstheme="minorHAnsi"/>
          <w:color w:val="000000" w:themeColor="text1"/>
        </w:rPr>
      </w:pPr>
      <w:r w:rsidRPr="007E3D0B">
        <w:rPr>
          <w:rFonts w:asciiTheme="minorHAnsi" w:hAnsiTheme="minorHAnsi" w:cstheme="minorHAnsi"/>
          <w:b/>
          <w:color w:val="000000" w:themeColor="text1"/>
        </w:rPr>
        <w:t>Modelo paramétrico</w:t>
      </w:r>
      <w:r w:rsidRPr="007E3D0B">
        <w:rPr>
          <w:rFonts w:asciiTheme="minorHAnsi" w:hAnsiTheme="minorHAnsi" w:cstheme="minorHAnsi"/>
          <w:color w:val="000000" w:themeColor="text1"/>
        </w:rPr>
        <w:t>: baseado em pressupostos estatísticos sobre o comportamento dos retornos dos ativos;</w:t>
      </w:r>
    </w:p>
    <w:p w14:paraId="74702FBC" w14:textId="77777777" w:rsidR="0018756A" w:rsidRPr="007E3D0B" w:rsidRDefault="008655FF" w:rsidP="008B69D1">
      <w:pPr>
        <w:pStyle w:val="PargrafodaLista"/>
        <w:numPr>
          <w:ilvl w:val="0"/>
          <w:numId w:val="30"/>
        </w:numPr>
        <w:rPr>
          <w:rFonts w:asciiTheme="minorHAnsi" w:hAnsiTheme="minorHAnsi" w:cstheme="minorHAnsi"/>
          <w:color w:val="000000" w:themeColor="text1"/>
        </w:rPr>
      </w:pPr>
      <w:r w:rsidRPr="007E3D0B">
        <w:rPr>
          <w:rFonts w:asciiTheme="minorHAnsi" w:hAnsiTheme="minorHAnsi" w:cstheme="minorHAnsi"/>
          <w:b/>
          <w:color w:val="000000" w:themeColor="text1"/>
        </w:rPr>
        <w:lastRenderedPageBreak/>
        <w:t>Intervalo de confiança de 95%</w:t>
      </w:r>
      <w:r w:rsidRPr="007E3D0B">
        <w:rPr>
          <w:rFonts w:asciiTheme="minorHAnsi" w:hAnsiTheme="minorHAnsi" w:cstheme="minorHAnsi"/>
          <w:color w:val="000000" w:themeColor="text1"/>
        </w:rPr>
        <w:t>: o que significa que há 95% de probabilidade de que as perdas não ultrapassem o valor estimado em condições normais de mercado</w:t>
      </w:r>
      <w:r w:rsidR="0018756A" w:rsidRPr="007E3D0B">
        <w:rPr>
          <w:rFonts w:asciiTheme="minorHAnsi" w:hAnsiTheme="minorHAnsi" w:cstheme="minorHAnsi"/>
          <w:color w:val="000000" w:themeColor="text1"/>
        </w:rPr>
        <w:t>;</w:t>
      </w:r>
    </w:p>
    <w:p w14:paraId="0EE4292D" w14:textId="77777777" w:rsidR="00A3460A" w:rsidRPr="007E3D0B" w:rsidRDefault="00A3460A" w:rsidP="008B69D1">
      <w:pPr>
        <w:pStyle w:val="PargrafodaLista"/>
        <w:numPr>
          <w:ilvl w:val="0"/>
          <w:numId w:val="30"/>
        </w:numPr>
        <w:rPr>
          <w:rFonts w:asciiTheme="minorHAnsi" w:hAnsiTheme="minorHAnsi" w:cstheme="minorHAnsi"/>
          <w:color w:val="000000" w:themeColor="text1"/>
        </w:rPr>
      </w:pPr>
      <w:r w:rsidRPr="007E3D0B">
        <w:rPr>
          <w:rFonts w:asciiTheme="minorHAnsi" w:hAnsiTheme="minorHAnsi" w:cstheme="minorHAnsi"/>
          <w:color w:val="000000" w:themeColor="text1"/>
        </w:rPr>
        <w:t>Horizonte temporal de 1 dia útil, 21 dias úteis e 252 dias úteis</w:t>
      </w:r>
    </w:p>
    <w:p w14:paraId="620C49C9" w14:textId="77777777" w:rsidR="008655FF" w:rsidRPr="007E3D0B" w:rsidRDefault="008655FF" w:rsidP="00CB34E0">
      <w:pPr>
        <w:rPr>
          <w:rFonts w:asciiTheme="minorHAnsi" w:hAnsiTheme="minorHAnsi" w:cstheme="minorHAnsi"/>
          <w:color w:val="000000" w:themeColor="text1"/>
        </w:rPr>
      </w:pPr>
    </w:p>
    <w:p w14:paraId="0C7784D5" w14:textId="77777777" w:rsidR="00CC12AC" w:rsidRPr="007E3D0B" w:rsidRDefault="00CC12AC" w:rsidP="0018756A">
      <w:pPr>
        <w:ind w:left="708"/>
        <w:rPr>
          <w:rFonts w:asciiTheme="minorHAnsi" w:hAnsiTheme="minorHAnsi" w:cstheme="minorHAnsi"/>
          <w:b/>
          <w:i/>
          <w:iCs/>
          <w:color w:val="000000" w:themeColor="text1"/>
        </w:rPr>
      </w:pPr>
      <w:r w:rsidRPr="007E3D0B">
        <w:rPr>
          <w:rFonts w:asciiTheme="minorHAnsi" w:hAnsiTheme="minorHAnsi" w:cstheme="minorHAnsi"/>
          <w:b/>
          <w:i/>
          <w:iCs/>
          <w:color w:val="000000" w:themeColor="text1"/>
        </w:rPr>
        <w:t>Parâmetros de Monitoramento do Risco de Mercado</w:t>
      </w:r>
    </w:p>
    <w:p w14:paraId="602F8691" w14:textId="77777777" w:rsidR="00A30B4F" w:rsidRPr="007E3D0B" w:rsidRDefault="00A30B4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Como parte integrante do processo de controle e monitoramento do risco de mercado da carteira de investimentos, 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define limites de exposição por segmento de ativos, conforme detalhado a seguir.</w:t>
      </w:r>
    </w:p>
    <w:p w14:paraId="1A4A4271" w14:textId="77777777" w:rsidR="0018756A" w:rsidRPr="007E3D0B" w:rsidRDefault="00A30B4F"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Esses parâmetros deverão ser rigorosamente acompanhados pelos membros do Comitê de Investimentos e pelo Gestor dos Recursos, que deverão proceder à reavaliação dos ativos sempre que os limites previamente estabelecidos, com base em uma janela móvel de 252 dias úteis, forem ultrapassados</w:t>
      </w:r>
      <w:r w:rsidR="0018756A" w:rsidRPr="007E3D0B">
        <w:rPr>
          <w:rFonts w:asciiTheme="minorHAnsi" w:hAnsiTheme="minorHAnsi" w:cstheme="minorHAnsi"/>
          <w:color w:val="000000" w:themeColor="text1"/>
        </w:rPr>
        <w:t>:</w:t>
      </w:r>
    </w:p>
    <w:p w14:paraId="2DE3B3C1" w14:textId="77777777" w:rsidR="00CD5A37" w:rsidRPr="007E3D0B" w:rsidRDefault="00CC12AC" w:rsidP="008B69D1">
      <w:pPr>
        <w:pStyle w:val="PargrafodaLista"/>
        <w:numPr>
          <w:ilvl w:val="0"/>
          <w:numId w:val="31"/>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Segmento de Renda Fixa: </w:t>
      </w:r>
      <w:r w:rsidR="00BA7231" w:rsidRPr="007E3D0B">
        <w:rPr>
          <w:rFonts w:asciiTheme="minorHAnsi" w:hAnsiTheme="minorHAnsi" w:cstheme="minorHAnsi"/>
          <w:b/>
          <w:bCs/>
          <w:color w:val="000000" w:themeColor="text1"/>
        </w:rPr>
        <w:t>1,29</w:t>
      </w:r>
      <w:r w:rsidRPr="007E3D0B">
        <w:rPr>
          <w:rFonts w:asciiTheme="minorHAnsi" w:hAnsiTheme="minorHAnsi" w:cstheme="minorHAnsi"/>
          <w:b/>
          <w:bCs/>
          <w:color w:val="000000" w:themeColor="text1"/>
        </w:rPr>
        <w:t>%</w:t>
      </w:r>
      <w:r w:rsidRPr="007E3D0B">
        <w:rPr>
          <w:rFonts w:asciiTheme="minorHAnsi" w:hAnsiTheme="minorHAnsi" w:cstheme="minorHAnsi"/>
          <w:color w:val="000000" w:themeColor="text1"/>
        </w:rPr>
        <w:t xml:space="preserve"> do valor total alocado neste segmento;</w:t>
      </w:r>
    </w:p>
    <w:p w14:paraId="1373D0A0" w14:textId="77777777" w:rsidR="00CD5A37" w:rsidRPr="007E3D0B" w:rsidRDefault="00CC12AC" w:rsidP="008B69D1">
      <w:pPr>
        <w:pStyle w:val="PargrafodaLista"/>
        <w:numPr>
          <w:ilvl w:val="0"/>
          <w:numId w:val="31"/>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Segmento de Renda Variável e Estruturados: </w:t>
      </w:r>
      <w:r w:rsidR="00BA7231" w:rsidRPr="007E3D0B">
        <w:rPr>
          <w:rFonts w:asciiTheme="minorHAnsi" w:hAnsiTheme="minorHAnsi" w:cstheme="minorHAnsi"/>
          <w:b/>
          <w:bCs/>
          <w:color w:val="000000" w:themeColor="text1"/>
        </w:rPr>
        <w:t>6,44</w:t>
      </w:r>
      <w:r w:rsidRPr="007E3D0B">
        <w:rPr>
          <w:rFonts w:asciiTheme="minorHAnsi" w:hAnsiTheme="minorHAnsi" w:cstheme="minorHAnsi"/>
          <w:b/>
          <w:bCs/>
          <w:color w:val="000000" w:themeColor="text1"/>
        </w:rPr>
        <w:t>%</w:t>
      </w:r>
      <w:r w:rsidRPr="007E3D0B">
        <w:rPr>
          <w:rFonts w:asciiTheme="minorHAnsi" w:hAnsiTheme="minorHAnsi" w:cstheme="minorHAnsi"/>
          <w:color w:val="000000" w:themeColor="text1"/>
        </w:rPr>
        <w:t xml:space="preserve"> do valor total alocado neste segmento;</w:t>
      </w:r>
    </w:p>
    <w:p w14:paraId="5D1757F9" w14:textId="77777777" w:rsidR="00CC12AC" w:rsidRPr="007E3D0B" w:rsidRDefault="00CC12AC" w:rsidP="008B69D1">
      <w:pPr>
        <w:pStyle w:val="PargrafodaLista"/>
        <w:numPr>
          <w:ilvl w:val="0"/>
          <w:numId w:val="31"/>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Segmento de Investimentos no Exterior: </w:t>
      </w:r>
      <w:r w:rsidR="00BA7231" w:rsidRPr="007E3D0B">
        <w:rPr>
          <w:rFonts w:asciiTheme="minorHAnsi" w:hAnsiTheme="minorHAnsi" w:cstheme="minorHAnsi"/>
          <w:b/>
          <w:bCs/>
          <w:color w:val="000000" w:themeColor="text1"/>
        </w:rPr>
        <w:t>8,86</w:t>
      </w:r>
      <w:r w:rsidRPr="007E3D0B">
        <w:rPr>
          <w:rFonts w:asciiTheme="minorHAnsi" w:hAnsiTheme="minorHAnsi" w:cstheme="minorHAnsi"/>
          <w:b/>
          <w:bCs/>
          <w:color w:val="000000" w:themeColor="text1"/>
        </w:rPr>
        <w:t>%</w:t>
      </w:r>
      <w:r w:rsidRPr="007E3D0B">
        <w:rPr>
          <w:rFonts w:asciiTheme="minorHAnsi" w:hAnsiTheme="minorHAnsi" w:cstheme="minorHAnsi"/>
          <w:color w:val="000000" w:themeColor="text1"/>
        </w:rPr>
        <w:t xml:space="preserve"> do valor total alocado neste segmento.</w:t>
      </w:r>
    </w:p>
    <w:p w14:paraId="6396E118" w14:textId="77777777" w:rsidR="00CC12AC" w:rsidRPr="007E3D0B" w:rsidRDefault="00CC12AC"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Além do monitoramento individual por segmento, será apresentado periodicamente o </w:t>
      </w:r>
      <w:proofErr w:type="spellStart"/>
      <w:r w:rsidRPr="007E3D0B">
        <w:rPr>
          <w:rFonts w:asciiTheme="minorHAnsi" w:hAnsiTheme="minorHAnsi" w:cstheme="minorHAnsi"/>
          <w:b/>
          <w:color w:val="000000" w:themeColor="text1"/>
        </w:rPr>
        <w:t>VaR</w:t>
      </w:r>
      <w:proofErr w:type="spellEnd"/>
      <w:r w:rsidRPr="007E3D0B">
        <w:rPr>
          <w:rFonts w:asciiTheme="minorHAnsi" w:hAnsiTheme="minorHAnsi" w:cstheme="minorHAnsi"/>
          <w:b/>
          <w:color w:val="000000" w:themeColor="text1"/>
        </w:rPr>
        <w:t xml:space="preserve"> consolidado</w:t>
      </w:r>
      <w:r w:rsidRPr="007E3D0B">
        <w:rPr>
          <w:rFonts w:asciiTheme="minorHAnsi" w:hAnsiTheme="minorHAnsi" w:cstheme="minorHAnsi"/>
          <w:color w:val="000000" w:themeColor="text1"/>
        </w:rPr>
        <w:t xml:space="preserve"> da carteira de investimentos, permitindo uma visão integrada da exposição ao risco de mercado. Essa análise visa subsidiar decisões estratégicas, reforçar a governança e garantir a aderência à Política de Investimentos vigente.</w:t>
      </w:r>
    </w:p>
    <w:tbl>
      <w:tblPr>
        <w:tblW w:w="3544" w:type="dxa"/>
        <w:jc w:val="center"/>
        <w:tblCellMar>
          <w:left w:w="70" w:type="dxa"/>
          <w:right w:w="70" w:type="dxa"/>
        </w:tblCellMar>
        <w:tblLook w:val="04A0" w:firstRow="1" w:lastRow="0" w:firstColumn="1" w:lastColumn="0" w:noHBand="0" w:noVBand="1"/>
      </w:tblPr>
      <w:tblGrid>
        <w:gridCol w:w="2240"/>
        <w:gridCol w:w="1304"/>
      </w:tblGrid>
      <w:tr w:rsidR="007E3D0B" w:rsidRPr="007E3D0B" w14:paraId="569E06FB" w14:textId="77777777" w:rsidTr="0095394F">
        <w:trPr>
          <w:trHeight w:val="348"/>
          <w:jc w:val="center"/>
        </w:trPr>
        <w:tc>
          <w:tcPr>
            <w:tcW w:w="3544" w:type="dxa"/>
            <w:gridSpan w:val="2"/>
            <w:noWrap/>
            <w:vAlign w:val="center"/>
            <w:hideMark/>
          </w:tcPr>
          <w:p w14:paraId="2E46364D" w14:textId="77777777" w:rsidR="00BA7231" w:rsidRPr="007E3D0B" w:rsidRDefault="00BA7231" w:rsidP="00CD5A37">
            <w:pPr>
              <w:spacing w:before="0" w:after="0"/>
              <w:jc w:val="center"/>
              <w:rPr>
                <w:rFonts w:asciiTheme="minorHAnsi" w:eastAsia="Times New Roman" w:hAnsiTheme="minorHAnsi" w:cstheme="minorHAnsi"/>
                <w:b/>
                <w:color w:val="000000" w:themeColor="text1"/>
                <w:lang w:eastAsia="pt-BR"/>
              </w:rPr>
            </w:pPr>
            <w:r w:rsidRPr="007E3D0B">
              <w:rPr>
                <w:rFonts w:asciiTheme="minorHAnsi" w:eastAsia="Times New Roman" w:hAnsiTheme="minorHAnsi" w:cstheme="minorHAnsi"/>
                <w:b/>
                <w:color w:val="000000" w:themeColor="text1"/>
                <w:lang w:eastAsia="pt-BR"/>
              </w:rPr>
              <w:t>VAR CONSOLIDADO</w:t>
            </w:r>
          </w:p>
        </w:tc>
      </w:tr>
      <w:tr w:rsidR="007E3D0B" w:rsidRPr="007E3D0B" w14:paraId="1AAF62A8" w14:textId="77777777" w:rsidTr="0095394F">
        <w:trPr>
          <w:trHeight w:val="348"/>
          <w:jc w:val="center"/>
        </w:trPr>
        <w:tc>
          <w:tcPr>
            <w:tcW w:w="2240" w:type="dxa"/>
            <w:noWrap/>
            <w:vAlign w:val="center"/>
            <w:hideMark/>
          </w:tcPr>
          <w:p w14:paraId="077EB151"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95% 1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226513A5" w14:textId="77777777" w:rsidR="00BA7231" w:rsidRPr="007E3D0B" w:rsidRDefault="00F00C0F"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0,20</w:t>
            </w:r>
            <w:r w:rsidR="00BA7231" w:rsidRPr="007E3D0B">
              <w:rPr>
                <w:rFonts w:asciiTheme="minorHAnsi" w:hAnsiTheme="minorHAnsi" w:cstheme="minorHAnsi"/>
                <w:color w:val="000000" w:themeColor="text1"/>
              </w:rPr>
              <w:t>%</w:t>
            </w:r>
          </w:p>
        </w:tc>
      </w:tr>
      <w:tr w:rsidR="007E3D0B" w:rsidRPr="007E3D0B" w14:paraId="60620037" w14:textId="77777777" w:rsidTr="0095394F">
        <w:trPr>
          <w:trHeight w:val="348"/>
          <w:jc w:val="center"/>
        </w:trPr>
        <w:tc>
          <w:tcPr>
            <w:tcW w:w="2240" w:type="dxa"/>
            <w:noWrap/>
            <w:vAlign w:val="center"/>
            <w:hideMark/>
          </w:tcPr>
          <w:p w14:paraId="556885F8"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95,0% 21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25E86B1D" w14:textId="77777777" w:rsidR="00BA7231" w:rsidRPr="007E3D0B" w:rsidRDefault="00A30B4F"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1,27</w:t>
            </w:r>
            <w:r w:rsidR="00BA7231" w:rsidRPr="007E3D0B">
              <w:rPr>
                <w:rFonts w:asciiTheme="minorHAnsi" w:hAnsiTheme="minorHAnsi" w:cstheme="minorHAnsi"/>
                <w:color w:val="000000" w:themeColor="text1"/>
              </w:rPr>
              <w:t>%</w:t>
            </w:r>
          </w:p>
        </w:tc>
      </w:tr>
      <w:tr w:rsidR="007E3D0B" w:rsidRPr="007E3D0B" w14:paraId="3486D40B" w14:textId="77777777" w:rsidTr="0095394F">
        <w:trPr>
          <w:trHeight w:val="348"/>
          <w:jc w:val="center"/>
        </w:trPr>
        <w:tc>
          <w:tcPr>
            <w:tcW w:w="2240" w:type="dxa"/>
            <w:noWrap/>
            <w:vAlign w:val="center"/>
            <w:hideMark/>
          </w:tcPr>
          <w:p w14:paraId="2AAF1F2A"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95,0% 252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1B4B584A" w14:textId="77777777" w:rsidR="00BA7231" w:rsidRPr="007E3D0B" w:rsidRDefault="007D64B2"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2,7</w:t>
            </w:r>
            <w:r w:rsidR="00A30B4F" w:rsidRPr="007E3D0B">
              <w:rPr>
                <w:rFonts w:asciiTheme="minorHAnsi" w:hAnsiTheme="minorHAnsi" w:cstheme="minorHAnsi"/>
                <w:color w:val="000000" w:themeColor="text1"/>
              </w:rPr>
              <w:t>2</w:t>
            </w:r>
            <w:r w:rsidRPr="007E3D0B">
              <w:rPr>
                <w:rFonts w:asciiTheme="minorHAnsi" w:hAnsiTheme="minorHAnsi" w:cstheme="minorHAnsi"/>
                <w:color w:val="000000" w:themeColor="text1"/>
              </w:rPr>
              <w:t>%</w:t>
            </w:r>
          </w:p>
        </w:tc>
      </w:tr>
      <w:tr w:rsidR="007E3D0B" w:rsidRPr="007E3D0B" w14:paraId="30D4D740" w14:textId="77777777" w:rsidTr="0095394F">
        <w:trPr>
          <w:trHeight w:val="348"/>
          <w:jc w:val="center"/>
        </w:trPr>
        <w:tc>
          <w:tcPr>
            <w:tcW w:w="2240" w:type="dxa"/>
            <w:noWrap/>
            <w:vAlign w:val="center"/>
            <w:hideMark/>
          </w:tcPr>
          <w:p w14:paraId="33817693"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99,0% 1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08AEB14F" w14:textId="77777777" w:rsidR="00BA7231" w:rsidRPr="007E3D0B" w:rsidRDefault="00F00C0F"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0,28</w:t>
            </w:r>
            <w:r w:rsidR="00BA7231" w:rsidRPr="007E3D0B">
              <w:rPr>
                <w:rFonts w:asciiTheme="minorHAnsi" w:hAnsiTheme="minorHAnsi" w:cstheme="minorHAnsi"/>
                <w:color w:val="000000" w:themeColor="text1"/>
              </w:rPr>
              <w:t>%</w:t>
            </w:r>
          </w:p>
        </w:tc>
      </w:tr>
      <w:tr w:rsidR="007E3D0B" w:rsidRPr="007E3D0B" w14:paraId="0BD3E7D6" w14:textId="77777777" w:rsidTr="0095394F">
        <w:trPr>
          <w:trHeight w:val="348"/>
          <w:jc w:val="center"/>
        </w:trPr>
        <w:tc>
          <w:tcPr>
            <w:tcW w:w="2240" w:type="dxa"/>
            <w:noWrap/>
            <w:vAlign w:val="center"/>
            <w:hideMark/>
          </w:tcPr>
          <w:p w14:paraId="70528AE3"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99,0% 21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29A72219" w14:textId="77777777" w:rsidR="00BA7231" w:rsidRPr="007E3D0B" w:rsidRDefault="00A30B4F"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1,79</w:t>
            </w:r>
            <w:r w:rsidR="00BA7231" w:rsidRPr="007E3D0B">
              <w:rPr>
                <w:rFonts w:asciiTheme="minorHAnsi" w:hAnsiTheme="minorHAnsi" w:cstheme="minorHAnsi"/>
                <w:color w:val="000000" w:themeColor="text1"/>
              </w:rPr>
              <w:t>%</w:t>
            </w:r>
          </w:p>
        </w:tc>
      </w:tr>
      <w:tr w:rsidR="007E3D0B" w:rsidRPr="007E3D0B" w14:paraId="077EFC34" w14:textId="77777777" w:rsidTr="0095394F">
        <w:trPr>
          <w:trHeight w:val="348"/>
          <w:jc w:val="center"/>
        </w:trPr>
        <w:tc>
          <w:tcPr>
            <w:tcW w:w="2240" w:type="dxa"/>
            <w:noWrap/>
            <w:vAlign w:val="center"/>
            <w:hideMark/>
          </w:tcPr>
          <w:p w14:paraId="5B71AC8C" w14:textId="77777777" w:rsidR="00BA7231" w:rsidRPr="007E3D0B" w:rsidRDefault="00BA7231" w:rsidP="00CD5A37">
            <w:pPr>
              <w:spacing w:before="0" w:after="0"/>
              <w:rPr>
                <w:rFonts w:asciiTheme="minorHAnsi" w:eastAsia="Times New Roman" w:hAnsiTheme="minorHAnsi" w:cstheme="minorHAnsi"/>
                <w:color w:val="000000" w:themeColor="text1"/>
                <w:lang w:eastAsia="pt-BR"/>
              </w:rPr>
            </w:pPr>
            <w:r w:rsidRPr="007E3D0B">
              <w:rPr>
                <w:rFonts w:asciiTheme="minorHAnsi" w:eastAsia="Times New Roman" w:hAnsiTheme="minorHAnsi" w:cstheme="minorHAnsi"/>
                <w:color w:val="000000" w:themeColor="text1"/>
                <w:lang w:eastAsia="pt-BR"/>
              </w:rPr>
              <w:t xml:space="preserve"> </w:t>
            </w:r>
            <w:proofErr w:type="spellStart"/>
            <w:r w:rsidRPr="007E3D0B">
              <w:rPr>
                <w:rFonts w:asciiTheme="minorHAnsi" w:eastAsia="Times New Roman" w:hAnsiTheme="minorHAnsi" w:cstheme="minorHAnsi"/>
                <w:color w:val="000000" w:themeColor="text1"/>
                <w:lang w:eastAsia="pt-BR"/>
              </w:rPr>
              <w:t>VaR</w:t>
            </w:r>
            <w:proofErr w:type="spellEnd"/>
            <w:r w:rsidRPr="007E3D0B">
              <w:rPr>
                <w:rFonts w:asciiTheme="minorHAnsi" w:eastAsia="Times New Roman" w:hAnsiTheme="minorHAnsi" w:cstheme="minorHAnsi"/>
                <w:color w:val="000000" w:themeColor="text1"/>
                <w:lang w:eastAsia="pt-BR"/>
              </w:rPr>
              <w:t xml:space="preserve"> 99,0% 252 </w:t>
            </w:r>
            <w:proofErr w:type="spellStart"/>
            <w:r w:rsidRPr="007E3D0B">
              <w:rPr>
                <w:rFonts w:asciiTheme="minorHAnsi" w:eastAsia="Times New Roman" w:hAnsiTheme="minorHAnsi" w:cstheme="minorHAnsi"/>
                <w:color w:val="000000" w:themeColor="text1"/>
                <w:lang w:eastAsia="pt-BR"/>
              </w:rPr>
              <w:t>du</w:t>
            </w:r>
            <w:proofErr w:type="spellEnd"/>
            <w:r w:rsidRPr="007E3D0B">
              <w:rPr>
                <w:rFonts w:asciiTheme="minorHAnsi" w:eastAsia="Times New Roman" w:hAnsiTheme="minorHAnsi" w:cstheme="minorHAnsi"/>
                <w:color w:val="000000" w:themeColor="text1"/>
                <w:lang w:eastAsia="pt-BR"/>
              </w:rPr>
              <w:t xml:space="preserve">  </w:t>
            </w:r>
          </w:p>
        </w:tc>
        <w:tc>
          <w:tcPr>
            <w:tcW w:w="1304" w:type="dxa"/>
            <w:noWrap/>
            <w:hideMark/>
          </w:tcPr>
          <w:p w14:paraId="32F54C5B" w14:textId="77777777" w:rsidR="00BA7231" w:rsidRPr="007E3D0B" w:rsidRDefault="00D952CC" w:rsidP="00CD5A37">
            <w:pPr>
              <w:spacing w:before="0" w:after="0"/>
              <w:rPr>
                <w:rFonts w:asciiTheme="minorHAnsi" w:eastAsia="Times New Roman" w:hAnsiTheme="minorHAnsi" w:cstheme="minorHAnsi"/>
                <w:color w:val="000000" w:themeColor="text1"/>
                <w:lang w:eastAsia="pt-BR"/>
              </w:rPr>
            </w:pPr>
            <w:r w:rsidRPr="007E3D0B">
              <w:rPr>
                <w:rFonts w:asciiTheme="minorHAnsi" w:hAnsiTheme="minorHAnsi" w:cstheme="minorHAnsi"/>
                <w:color w:val="000000" w:themeColor="text1"/>
              </w:rPr>
              <w:t>3,</w:t>
            </w:r>
            <w:r w:rsidR="00A30B4F" w:rsidRPr="007E3D0B">
              <w:rPr>
                <w:rFonts w:asciiTheme="minorHAnsi" w:hAnsiTheme="minorHAnsi" w:cstheme="minorHAnsi"/>
                <w:color w:val="000000" w:themeColor="text1"/>
              </w:rPr>
              <w:t>8</w:t>
            </w:r>
            <w:r w:rsidRPr="007E3D0B">
              <w:rPr>
                <w:rFonts w:asciiTheme="minorHAnsi" w:hAnsiTheme="minorHAnsi" w:cstheme="minorHAnsi"/>
                <w:color w:val="000000" w:themeColor="text1"/>
              </w:rPr>
              <w:t>4</w:t>
            </w:r>
            <w:r w:rsidR="00BA7231" w:rsidRPr="007E3D0B">
              <w:rPr>
                <w:rFonts w:asciiTheme="minorHAnsi" w:hAnsiTheme="minorHAnsi" w:cstheme="minorHAnsi"/>
                <w:color w:val="000000" w:themeColor="text1"/>
              </w:rPr>
              <w:t>%</w:t>
            </w:r>
          </w:p>
        </w:tc>
      </w:tr>
    </w:tbl>
    <w:p w14:paraId="2D9E12C3" w14:textId="77777777" w:rsidR="000C4A74" w:rsidRPr="007E3D0B" w:rsidRDefault="000C4A74" w:rsidP="00CB34E0">
      <w:pPr>
        <w:rPr>
          <w:rFonts w:asciiTheme="minorHAnsi" w:hAnsiTheme="minorHAnsi" w:cstheme="minorHAnsi"/>
          <w:color w:val="000000" w:themeColor="text1"/>
        </w:rPr>
      </w:pPr>
    </w:p>
    <w:p w14:paraId="24427B56" w14:textId="77777777" w:rsidR="006C2770" w:rsidRPr="007E3D0B" w:rsidRDefault="006C2770"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Como instrumento complementar de controle, 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realizará o monitoramento sistemático da rentabilidade dos fundos de investimento que compõem sua carteira, considerando diferentes janelas temporais: mensal, trimestral, semestral, anual e bienal (1, 3, 6, 12 e 24 meses).</w:t>
      </w:r>
    </w:p>
    <w:p w14:paraId="25826A6F" w14:textId="77777777" w:rsidR="006C2770" w:rsidRPr="007E3D0B" w:rsidRDefault="006C2770"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Esse acompanhamento visa verificar o nível de aderência ao benchmark de cada ativo, permitindo a identificação de desvios relevantes em relação ao desempenho esperado.</w:t>
      </w:r>
    </w:p>
    <w:p w14:paraId="1739F626" w14:textId="77777777" w:rsidR="006C2770" w:rsidRPr="007E3D0B" w:rsidRDefault="006C2770" w:rsidP="00CB34E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Sempre que forem observadas variações significativas, os resultados deverão ser submetidos à análise do Comitê de Investimentos e do Gestor dos Recursos, que deliberarão sobre a manutenção, substituição ou </w:t>
      </w:r>
      <w:r w:rsidRPr="007E3D0B">
        <w:rPr>
          <w:rFonts w:asciiTheme="minorHAnsi" w:hAnsiTheme="minorHAnsi" w:cstheme="minorHAnsi"/>
          <w:color w:val="000000" w:themeColor="text1"/>
        </w:rPr>
        <w:lastRenderedPageBreak/>
        <w:t>readequação dos ativos em questão, conforme critérios técnicos e estratégicos definidos na Política de Investimentos.</w:t>
      </w:r>
    </w:p>
    <w:p w14:paraId="25A4D0C5" w14:textId="77777777" w:rsidR="006C2770" w:rsidRPr="007E3D0B" w:rsidRDefault="006C2770" w:rsidP="00CB34E0">
      <w:pPr>
        <w:rPr>
          <w:rFonts w:asciiTheme="minorHAnsi" w:hAnsiTheme="minorHAnsi" w:cstheme="minorHAnsi"/>
          <w:color w:val="000000" w:themeColor="text1"/>
        </w:rPr>
      </w:pPr>
    </w:p>
    <w:p w14:paraId="3EE9DB8D" w14:textId="77777777" w:rsidR="00500AE2" w:rsidRPr="007E3D0B" w:rsidRDefault="000160BE" w:rsidP="00A468C9">
      <w:pPr>
        <w:pStyle w:val="Ttulo2"/>
        <w:rPr>
          <w:rFonts w:asciiTheme="minorHAnsi" w:hAnsiTheme="minorHAnsi" w:cstheme="minorHAnsi"/>
          <w:color w:val="000000" w:themeColor="text1"/>
          <w:sz w:val="22"/>
          <w:szCs w:val="22"/>
        </w:rPr>
      </w:pPr>
      <w:bookmarkStart w:id="91" w:name="_Toc435202752"/>
      <w:bookmarkStart w:id="92" w:name="_Toc490036558"/>
      <w:bookmarkStart w:id="93" w:name="_Toc118105149"/>
      <w:r w:rsidRPr="007E3D0B">
        <w:rPr>
          <w:rFonts w:asciiTheme="minorHAnsi" w:hAnsiTheme="minorHAnsi" w:cstheme="minorHAnsi"/>
          <w:color w:val="000000" w:themeColor="text1"/>
          <w:sz w:val="22"/>
          <w:szCs w:val="22"/>
        </w:rPr>
        <w:t>Controle do Risco de Crédito</w:t>
      </w:r>
      <w:bookmarkEnd w:id="91"/>
      <w:bookmarkEnd w:id="92"/>
      <w:bookmarkEnd w:id="93"/>
    </w:p>
    <w:p w14:paraId="2C987CBA"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Na hipótese de aplicação </w:t>
      </w:r>
      <w:r w:rsidR="009448AC" w:rsidRPr="007E3D0B">
        <w:rPr>
          <w:rFonts w:asciiTheme="minorHAnsi" w:hAnsiTheme="minorHAnsi" w:cstheme="minorHAnsi"/>
          <w:bCs/>
          <w:color w:val="000000" w:themeColor="text1"/>
        </w:rPr>
        <w:t>dos</w:t>
      </w:r>
      <w:r w:rsidRPr="007E3D0B">
        <w:rPr>
          <w:rFonts w:asciiTheme="minorHAnsi" w:hAnsiTheme="minorHAnsi" w:cstheme="minorHAnsi"/>
          <w:bCs/>
          <w:color w:val="000000" w:themeColor="text1"/>
        </w:rPr>
        <w:t xml:space="preserve"> recursos financeiros em fundos de investimento que possuem em sua carteira de investimentos ativos de crédito, subordinam-se que estes sejam emitidas por companhias abertas devidamente operacionais e registrada; e que sejam de baixo risco em classificação efetuada por agência classificadora de risco, o que estiverem de acordo com a tabela abaixo:</w:t>
      </w:r>
    </w:p>
    <w:tbl>
      <w:tblPr>
        <w:tblStyle w:val="TabeladeGrad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2599"/>
      </w:tblGrid>
      <w:tr w:rsidR="007E3D0B" w:rsidRPr="007E3D0B" w14:paraId="2124A9E6" w14:textId="77777777" w:rsidTr="009539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none" w:sz="0" w:space="0" w:color="auto"/>
            </w:tcBorders>
            <w:shd w:val="clear" w:color="auto" w:fill="auto"/>
          </w:tcPr>
          <w:p w14:paraId="70F5B080"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AGÊNCIA CLASSIFICADORA</w:t>
            </w:r>
            <w:r w:rsidR="00AF43CE" w:rsidRPr="007E3D0B">
              <w:rPr>
                <w:rFonts w:asciiTheme="minorHAnsi" w:hAnsiTheme="minorHAnsi" w:cstheme="minorHAnsi"/>
                <w:bCs w:val="0"/>
                <w:color w:val="000000" w:themeColor="text1"/>
              </w:rPr>
              <w:t>S</w:t>
            </w:r>
            <w:r w:rsidRPr="007E3D0B">
              <w:rPr>
                <w:rFonts w:asciiTheme="minorHAnsi" w:hAnsiTheme="minorHAnsi" w:cstheme="minorHAnsi"/>
                <w:bCs w:val="0"/>
                <w:color w:val="000000" w:themeColor="text1"/>
              </w:rPr>
              <w:t xml:space="preserve"> DE RISCO</w:t>
            </w:r>
          </w:p>
        </w:tc>
        <w:tc>
          <w:tcPr>
            <w:tcW w:w="2599" w:type="dxa"/>
            <w:tcBorders>
              <w:top w:val="none" w:sz="0" w:space="0" w:color="auto"/>
              <w:left w:val="none" w:sz="0" w:space="0" w:color="auto"/>
              <w:bottom w:val="none" w:sz="0" w:space="0" w:color="auto"/>
            </w:tcBorders>
            <w:shd w:val="clear" w:color="auto" w:fill="auto"/>
          </w:tcPr>
          <w:p w14:paraId="1C8122E7" w14:textId="77777777" w:rsidR="00500AE2" w:rsidRPr="007E3D0B" w:rsidRDefault="00500AE2" w:rsidP="000160BE">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RATING MÍNIMO</w:t>
            </w:r>
          </w:p>
        </w:tc>
      </w:tr>
      <w:tr w:rsidR="007E3D0B" w:rsidRPr="007E3D0B" w14:paraId="60143884" w14:textId="77777777" w:rsidTr="00953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9695F4"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STANDARD &amp; POOR’S</w:t>
            </w:r>
          </w:p>
        </w:tc>
        <w:tc>
          <w:tcPr>
            <w:tcW w:w="2599" w:type="dxa"/>
            <w:shd w:val="clear" w:color="auto" w:fill="auto"/>
          </w:tcPr>
          <w:p w14:paraId="2A036A5D" w14:textId="77777777" w:rsidR="00500AE2" w:rsidRPr="007E3D0B" w:rsidRDefault="00500AE2" w:rsidP="000160BE">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BBB+ (perspectiva estável)</w:t>
            </w:r>
          </w:p>
        </w:tc>
      </w:tr>
      <w:tr w:rsidR="007E3D0B" w:rsidRPr="007E3D0B" w14:paraId="1D83D206" w14:textId="77777777" w:rsidTr="0095394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90BC7"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MOODY’S</w:t>
            </w:r>
          </w:p>
        </w:tc>
        <w:tc>
          <w:tcPr>
            <w:tcW w:w="2599" w:type="dxa"/>
          </w:tcPr>
          <w:p w14:paraId="75D59360" w14:textId="77777777" w:rsidR="00500AE2" w:rsidRPr="007E3D0B" w:rsidRDefault="00500AE2" w:rsidP="000160B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Baa1 (perspectiva estável)</w:t>
            </w:r>
          </w:p>
        </w:tc>
      </w:tr>
      <w:tr w:rsidR="007E3D0B" w:rsidRPr="007E3D0B" w14:paraId="7A25FFEA" w14:textId="77777777" w:rsidTr="00953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CFC3B"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FITCH RATINGS</w:t>
            </w:r>
          </w:p>
        </w:tc>
        <w:tc>
          <w:tcPr>
            <w:tcW w:w="2599" w:type="dxa"/>
            <w:shd w:val="clear" w:color="auto" w:fill="auto"/>
          </w:tcPr>
          <w:p w14:paraId="24054B49" w14:textId="77777777" w:rsidR="00500AE2" w:rsidRPr="007E3D0B" w:rsidRDefault="00500AE2" w:rsidP="000160BE">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BBB+ (perspectiva estável)</w:t>
            </w:r>
          </w:p>
        </w:tc>
      </w:tr>
      <w:tr w:rsidR="007E3D0B" w:rsidRPr="007E3D0B" w14:paraId="577FD0D9" w14:textId="77777777" w:rsidTr="0095394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D7B064"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AUSTIN RATING</w:t>
            </w:r>
          </w:p>
        </w:tc>
        <w:tc>
          <w:tcPr>
            <w:tcW w:w="2599" w:type="dxa"/>
          </w:tcPr>
          <w:p w14:paraId="5396B3E2" w14:textId="77777777" w:rsidR="00500AE2" w:rsidRPr="007E3D0B" w:rsidRDefault="00500AE2" w:rsidP="000160B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A (perspectiva estável)</w:t>
            </w:r>
          </w:p>
        </w:tc>
      </w:tr>
      <w:tr w:rsidR="007E3D0B" w:rsidRPr="007E3D0B" w14:paraId="19BA1EC5" w14:textId="77777777" w:rsidTr="00953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BF650"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LF RATING</w:t>
            </w:r>
          </w:p>
        </w:tc>
        <w:tc>
          <w:tcPr>
            <w:tcW w:w="2599" w:type="dxa"/>
            <w:shd w:val="clear" w:color="auto" w:fill="auto"/>
          </w:tcPr>
          <w:p w14:paraId="77A540F6" w14:textId="77777777" w:rsidR="00500AE2" w:rsidRPr="007E3D0B" w:rsidRDefault="00500AE2" w:rsidP="000160BE">
            <w:pPr>
              <w:spacing w:before="0"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A (perspectiva estável)</w:t>
            </w:r>
          </w:p>
        </w:tc>
      </w:tr>
      <w:tr w:rsidR="007E3D0B" w:rsidRPr="007E3D0B" w14:paraId="184B4C97" w14:textId="77777777" w:rsidTr="0095394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43B39B8" w14:textId="77777777" w:rsidR="00500AE2" w:rsidRPr="007E3D0B" w:rsidRDefault="00500AE2" w:rsidP="000160BE">
            <w:pPr>
              <w:spacing w:before="0" w:after="0"/>
              <w:jc w:val="center"/>
              <w:rPr>
                <w:rFonts w:asciiTheme="minorHAnsi" w:hAnsiTheme="minorHAnsi" w:cstheme="minorHAnsi"/>
                <w:bCs w:val="0"/>
                <w:color w:val="000000" w:themeColor="text1"/>
              </w:rPr>
            </w:pPr>
            <w:r w:rsidRPr="007E3D0B">
              <w:rPr>
                <w:rFonts w:asciiTheme="minorHAnsi" w:hAnsiTheme="minorHAnsi" w:cstheme="minorHAnsi"/>
                <w:bCs w:val="0"/>
                <w:color w:val="000000" w:themeColor="text1"/>
              </w:rPr>
              <w:t>LIBERUM RATING</w:t>
            </w:r>
          </w:p>
        </w:tc>
        <w:tc>
          <w:tcPr>
            <w:tcW w:w="2599" w:type="dxa"/>
          </w:tcPr>
          <w:p w14:paraId="3F220CA1" w14:textId="77777777" w:rsidR="00500AE2" w:rsidRPr="007E3D0B" w:rsidRDefault="00500AE2" w:rsidP="000160B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7E3D0B">
              <w:rPr>
                <w:rFonts w:asciiTheme="minorHAnsi" w:hAnsiTheme="minorHAnsi" w:cstheme="minorHAnsi"/>
                <w:b/>
                <w:color w:val="000000" w:themeColor="text1"/>
              </w:rPr>
              <w:t>A (perspectiva estável)</w:t>
            </w:r>
          </w:p>
        </w:tc>
      </w:tr>
    </w:tbl>
    <w:p w14:paraId="1BC5F701" w14:textId="77777777" w:rsidR="00513816" w:rsidRPr="007E3D0B" w:rsidRDefault="00513816" w:rsidP="00513816">
      <w:pPr>
        <w:rPr>
          <w:rFonts w:asciiTheme="minorHAnsi" w:hAnsiTheme="minorHAnsi" w:cstheme="minorHAnsi"/>
          <w:color w:val="000000" w:themeColor="text1"/>
        </w:rPr>
      </w:pPr>
      <w:r w:rsidRPr="007E3D0B">
        <w:rPr>
          <w:rFonts w:asciiTheme="minorHAnsi" w:hAnsiTheme="minorHAnsi" w:cstheme="minorHAnsi"/>
          <w:color w:val="000000" w:themeColor="text1"/>
        </w:rPr>
        <w:t>As agências classificadoras de risco supracitadas estão devidamente registradas na Comissão de Valores Mobiliários – CVM e autorizadas a operacionalizar no Brasil, utilizando metodologias reconhecidas para avaliar tanto o nível de risco de ativos financeiros quanto a solidez de instituições financeiras e dos fundos de investimento.</w:t>
      </w:r>
    </w:p>
    <w:p w14:paraId="14A1930B" w14:textId="77777777" w:rsidR="00513816" w:rsidRPr="007E3D0B" w:rsidRDefault="00513816" w:rsidP="0051381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baixo risco de crédito não deve ser observado apenas no momento da aplicação, mas também durante todo o período em que o </w:t>
      </w:r>
      <w:r w:rsidRPr="007E3D0B">
        <w:rPr>
          <w:rFonts w:asciiTheme="minorHAnsi" w:hAnsiTheme="minorHAnsi" w:cstheme="minorHAnsi"/>
          <w:b/>
          <w:bCs/>
          <w:color w:val="000000" w:themeColor="text1"/>
        </w:rPr>
        <w:t>INSTITUTO DE PREVIDÊNCIA MUNICIPAL DE SANTO ANTÔNIO DE POSSE - IPREM POSSE</w:t>
      </w:r>
      <w:r w:rsidR="00F21C0D" w:rsidRPr="007E3D0B">
        <w:rPr>
          <w:rFonts w:asciiTheme="minorHAnsi" w:hAnsiTheme="minorHAnsi" w:cstheme="minorHAnsi"/>
          <w:b/>
          <w:bCs/>
          <w:color w:val="000000" w:themeColor="text1"/>
        </w:rPr>
        <w:t xml:space="preserve"> </w:t>
      </w:r>
      <w:r w:rsidRPr="007E3D0B">
        <w:rPr>
          <w:rFonts w:asciiTheme="minorHAnsi" w:hAnsiTheme="minorHAnsi" w:cstheme="minorHAnsi"/>
          <w:color w:val="000000" w:themeColor="text1"/>
        </w:rPr>
        <w:t>mantiver recursos investidos, devendo ser monitorado de forma contínua. Essa avaliação compreende não apenas os ativos finais que compõem a carteira dos fundos</w:t>
      </w:r>
      <w:r w:rsidR="00F21C0D" w:rsidRPr="007E3D0B">
        <w:rPr>
          <w:rFonts w:asciiTheme="minorHAnsi" w:hAnsiTheme="minorHAnsi" w:cstheme="minorHAnsi"/>
          <w:color w:val="000000" w:themeColor="text1"/>
        </w:rPr>
        <w:t xml:space="preserve"> de investimentos</w:t>
      </w:r>
      <w:r w:rsidRPr="007E3D0B">
        <w:rPr>
          <w:rFonts w:asciiTheme="minorHAnsi" w:hAnsiTheme="minorHAnsi" w:cstheme="minorHAnsi"/>
          <w:color w:val="000000" w:themeColor="text1"/>
        </w:rPr>
        <w:t xml:space="preserve">, mas também o </w:t>
      </w:r>
      <w:r w:rsidRPr="007E3D0B">
        <w:rPr>
          <w:rFonts w:asciiTheme="minorHAnsi" w:hAnsiTheme="minorHAnsi" w:cstheme="minorHAnsi"/>
          <w:i/>
          <w:iCs/>
          <w:color w:val="000000" w:themeColor="text1"/>
        </w:rPr>
        <w:t>rating</w:t>
      </w:r>
      <w:r w:rsidRPr="007E3D0B">
        <w:rPr>
          <w:rFonts w:asciiTheme="minorHAnsi" w:hAnsiTheme="minorHAnsi" w:cstheme="minorHAnsi"/>
          <w:color w:val="000000" w:themeColor="text1"/>
        </w:rPr>
        <w:t xml:space="preserve"> das instituições financeiras que atuam como gestores, administradores, custodiantes ou contraparte das operações.</w:t>
      </w:r>
    </w:p>
    <w:p w14:paraId="1592D0E2" w14:textId="77777777" w:rsidR="00BB5886" w:rsidRPr="007E3D0B" w:rsidRDefault="00513816" w:rsidP="0051381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Adicionalmente, a análise deve considerar a Lista Exaustiva da Secretaria de Previdência – SPREV, a qual relaciona as </w:t>
      </w:r>
      <w:r w:rsidR="00F21C0D"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nstituições </w:t>
      </w:r>
      <w:r w:rsidR="00F21C0D" w:rsidRPr="007E3D0B">
        <w:rPr>
          <w:rFonts w:asciiTheme="minorHAnsi" w:hAnsiTheme="minorHAnsi" w:cstheme="minorHAnsi"/>
          <w:color w:val="000000" w:themeColor="text1"/>
        </w:rPr>
        <w:t>F</w:t>
      </w:r>
      <w:r w:rsidRPr="007E3D0B">
        <w:rPr>
          <w:rFonts w:asciiTheme="minorHAnsi" w:hAnsiTheme="minorHAnsi" w:cstheme="minorHAnsi"/>
          <w:color w:val="000000" w:themeColor="text1"/>
        </w:rPr>
        <w:t>inanceiras habilitadas a receber investimentos dos Regimes Próprios de Previdência Social</w:t>
      </w:r>
      <w:r w:rsidR="00F21C0D" w:rsidRPr="007E3D0B">
        <w:rPr>
          <w:rFonts w:asciiTheme="minorHAnsi" w:hAnsiTheme="minorHAnsi" w:cstheme="minorHAnsi"/>
          <w:color w:val="000000" w:themeColor="text1"/>
        </w:rPr>
        <w:t xml:space="preserve"> - RPPS</w:t>
      </w:r>
      <w:r w:rsidRPr="007E3D0B">
        <w:rPr>
          <w:rFonts w:asciiTheme="minorHAnsi" w:hAnsiTheme="minorHAnsi" w:cstheme="minorHAnsi"/>
          <w:color w:val="000000" w:themeColor="text1"/>
        </w:rPr>
        <w:t xml:space="preserve">. Assim, a decisão de investimento deve observar cumulativamente: (i) a nota de </w:t>
      </w:r>
      <w:r w:rsidRPr="007E3D0B">
        <w:rPr>
          <w:rFonts w:asciiTheme="minorHAnsi" w:hAnsiTheme="minorHAnsi" w:cstheme="minorHAnsi"/>
          <w:i/>
          <w:iCs/>
          <w:color w:val="000000" w:themeColor="text1"/>
        </w:rPr>
        <w:t>rating</w:t>
      </w:r>
      <w:r w:rsidRPr="007E3D0B">
        <w:rPr>
          <w:rFonts w:asciiTheme="minorHAnsi" w:hAnsiTheme="minorHAnsi" w:cstheme="minorHAnsi"/>
          <w:color w:val="000000" w:themeColor="text1"/>
        </w:rPr>
        <w:t xml:space="preserve"> mínima exigida para os ativos e para as </w:t>
      </w:r>
      <w:r w:rsidR="00F21C0D"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nstituições </w:t>
      </w:r>
      <w:r w:rsidR="00F21C0D" w:rsidRPr="007E3D0B">
        <w:rPr>
          <w:rFonts w:asciiTheme="minorHAnsi" w:hAnsiTheme="minorHAnsi" w:cstheme="minorHAnsi"/>
          <w:color w:val="000000" w:themeColor="text1"/>
        </w:rPr>
        <w:t xml:space="preserve">Financeiras </w:t>
      </w:r>
      <w:r w:rsidRPr="007E3D0B">
        <w:rPr>
          <w:rFonts w:asciiTheme="minorHAnsi" w:hAnsiTheme="minorHAnsi" w:cstheme="minorHAnsi"/>
          <w:color w:val="000000" w:themeColor="text1"/>
        </w:rPr>
        <w:t>envolvidas; e (</w:t>
      </w:r>
      <w:proofErr w:type="spellStart"/>
      <w:r w:rsidRPr="007E3D0B">
        <w:rPr>
          <w:rFonts w:asciiTheme="minorHAnsi" w:hAnsiTheme="minorHAnsi" w:cstheme="minorHAnsi"/>
          <w:color w:val="000000" w:themeColor="text1"/>
        </w:rPr>
        <w:t>ii</w:t>
      </w:r>
      <w:proofErr w:type="spellEnd"/>
      <w:r w:rsidRPr="007E3D0B">
        <w:rPr>
          <w:rFonts w:asciiTheme="minorHAnsi" w:hAnsiTheme="minorHAnsi" w:cstheme="minorHAnsi"/>
          <w:color w:val="000000" w:themeColor="text1"/>
        </w:rPr>
        <w:t xml:space="preserve">) a habilitação da </w:t>
      </w:r>
      <w:r w:rsidR="00F21C0D"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nstituição </w:t>
      </w:r>
      <w:r w:rsidR="00F21C0D" w:rsidRPr="007E3D0B">
        <w:rPr>
          <w:rFonts w:asciiTheme="minorHAnsi" w:hAnsiTheme="minorHAnsi" w:cstheme="minorHAnsi"/>
          <w:color w:val="000000" w:themeColor="text1"/>
        </w:rPr>
        <w:t xml:space="preserve">Financeira </w:t>
      </w:r>
      <w:r w:rsidRPr="007E3D0B">
        <w:rPr>
          <w:rFonts w:asciiTheme="minorHAnsi" w:hAnsiTheme="minorHAnsi" w:cstheme="minorHAnsi"/>
          <w:color w:val="000000" w:themeColor="text1"/>
        </w:rPr>
        <w:t>junto à Lista Exaustiva da SPREV.</w:t>
      </w:r>
    </w:p>
    <w:p w14:paraId="3C64374F" w14:textId="77777777" w:rsidR="00635488" w:rsidRPr="007E3D0B" w:rsidRDefault="00635488" w:rsidP="00500AE2">
      <w:pPr>
        <w:rPr>
          <w:rFonts w:asciiTheme="minorHAnsi" w:hAnsiTheme="minorHAnsi" w:cstheme="minorHAnsi"/>
          <w:color w:val="000000" w:themeColor="text1"/>
        </w:rPr>
      </w:pPr>
    </w:p>
    <w:p w14:paraId="6BAA96EE" w14:textId="77777777" w:rsidR="00500AE2" w:rsidRPr="007E3D0B" w:rsidRDefault="000160BE" w:rsidP="00A468C9">
      <w:pPr>
        <w:pStyle w:val="Ttulo2"/>
        <w:rPr>
          <w:rFonts w:asciiTheme="minorHAnsi" w:hAnsiTheme="minorHAnsi" w:cstheme="minorHAnsi"/>
          <w:color w:val="000000" w:themeColor="text1"/>
          <w:sz w:val="22"/>
          <w:szCs w:val="22"/>
        </w:rPr>
      </w:pPr>
      <w:bookmarkStart w:id="94" w:name="_Toc435189695"/>
      <w:bookmarkStart w:id="95" w:name="_Toc435202753"/>
      <w:bookmarkStart w:id="96" w:name="_Toc490036559"/>
      <w:bookmarkStart w:id="97" w:name="_Toc118105150"/>
      <w:r w:rsidRPr="007E3D0B">
        <w:rPr>
          <w:rFonts w:asciiTheme="minorHAnsi" w:hAnsiTheme="minorHAnsi" w:cstheme="minorHAnsi"/>
          <w:color w:val="000000" w:themeColor="text1"/>
          <w:sz w:val="22"/>
          <w:szCs w:val="22"/>
        </w:rPr>
        <w:t xml:space="preserve">Controle do Risco de </w:t>
      </w:r>
      <w:bookmarkEnd w:id="94"/>
      <w:r w:rsidRPr="007E3D0B">
        <w:rPr>
          <w:rFonts w:asciiTheme="minorHAnsi" w:hAnsiTheme="minorHAnsi" w:cstheme="minorHAnsi"/>
          <w:color w:val="000000" w:themeColor="text1"/>
          <w:sz w:val="22"/>
          <w:szCs w:val="22"/>
        </w:rPr>
        <w:t>Liquidez</w:t>
      </w:r>
      <w:bookmarkEnd w:id="95"/>
      <w:bookmarkEnd w:id="96"/>
      <w:bookmarkEnd w:id="97"/>
    </w:p>
    <w:p w14:paraId="0A6D225F"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Nas aplicações em ativos financeiros que tem seu prazo de liquidez superior a 365 (trezentos e sessenta e cinco) dias, a aprovação de alocação dos recursos deverá ser precedida de </w:t>
      </w:r>
      <w:r w:rsidR="003454C3" w:rsidRPr="007E3D0B">
        <w:rPr>
          <w:rFonts w:asciiTheme="minorHAnsi" w:hAnsiTheme="minorHAnsi" w:cstheme="minorHAnsi"/>
          <w:color w:val="000000" w:themeColor="text1"/>
        </w:rPr>
        <w:t xml:space="preserve">estudo </w:t>
      </w:r>
      <w:r w:rsidRPr="007E3D0B">
        <w:rPr>
          <w:rFonts w:asciiTheme="minorHAnsi" w:hAnsiTheme="minorHAnsi" w:cstheme="minorHAnsi"/>
          <w:color w:val="000000" w:themeColor="text1"/>
        </w:rPr>
        <w:t xml:space="preserve">que comprove a análise de evidenciação quanto a capacidade do </w:t>
      </w:r>
      <w:r w:rsidRPr="007E3D0B">
        <w:rPr>
          <w:rFonts w:asciiTheme="minorHAnsi" w:hAnsiTheme="minorHAnsi" w:cstheme="minorHAnsi"/>
          <w:b/>
          <w:color w:val="000000" w:themeColor="text1"/>
        </w:rPr>
        <w:t xml:space="preserve">INSTITUTO DE PREVIDÊNCIA MUNICIPAL DE SANTO ANTÔNIO DE </w:t>
      </w:r>
      <w:r w:rsidRPr="007E3D0B">
        <w:rPr>
          <w:rFonts w:asciiTheme="minorHAnsi" w:hAnsiTheme="minorHAnsi" w:cstheme="minorHAnsi"/>
          <w:b/>
          <w:color w:val="000000" w:themeColor="text1"/>
        </w:rPr>
        <w:lastRenderedPageBreak/>
        <w:t>POSSE - IPREM POSSE</w:t>
      </w:r>
      <w:r w:rsidRPr="007E3D0B" w:rsidDel="00D11EC2">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em arcar com o fluxo de despesas necessárias ao cumprimento de suas obrigações atuariais, até a data da disponibilização dos recursos investidos.</w:t>
      </w:r>
    </w:p>
    <w:p w14:paraId="17CC5E5F" w14:textId="77777777" w:rsidR="00FD4A54" w:rsidRPr="007E3D0B" w:rsidRDefault="00500AE2" w:rsidP="00FD4A54">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Entende-se como </w:t>
      </w:r>
      <w:r w:rsidR="003454C3" w:rsidRPr="007E3D0B">
        <w:rPr>
          <w:rFonts w:asciiTheme="minorHAnsi" w:hAnsiTheme="minorHAnsi" w:cstheme="minorHAnsi"/>
          <w:color w:val="000000" w:themeColor="text1"/>
        </w:rPr>
        <w:t xml:space="preserve">estudo </w:t>
      </w:r>
      <w:r w:rsidRPr="007E3D0B">
        <w:rPr>
          <w:rFonts w:asciiTheme="minorHAnsi" w:hAnsiTheme="minorHAnsi" w:cstheme="minorHAnsi"/>
          <w:color w:val="000000" w:themeColor="text1"/>
        </w:rPr>
        <w:t xml:space="preserve">que comprova a análise de evidenciação quanto a capacidade em arcar com o fluxo de despesas necessárias ao cumprimento de suas obrigações atuariais, o estudo de ALM – </w:t>
      </w:r>
      <w:proofErr w:type="spellStart"/>
      <w:r w:rsidRPr="007E3D0B">
        <w:rPr>
          <w:rFonts w:asciiTheme="minorHAnsi" w:hAnsiTheme="minorHAnsi" w:cstheme="minorHAnsi"/>
          <w:color w:val="000000" w:themeColor="text1"/>
        </w:rPr>
        <w:t>Asset</w:t>
      </w:r>
      <w:proofErr w:type="spellEnd"/>
      <w:r w:rsidRPr="007E3D0B">
        <w:rPr>
          <w:rFonts w:asciiTheme="minorHAnsi" w:hAnsiTheme="minorHAnsi" w:cstheme="minorHAnsi"/>
          <w:color w:val="000000" w:themeColor="text1"/>
        </w:rPr>
        <w:t xml:space="preserve"> </w:t>
      </w:r>
      <w:proofErr w:type="spellStart"/>
      <w:r w:rsidRPr="007E3D0B">
        <w:rPr>
          <w:rFonts w:asciiTheme="minorHAnsi" w:hAnsiTheme="minorHAnsi" w:cstheme="minorHAnsi"/>
          <w:color w:val="000000" w:themeColor="text1"/>
        </w:rPr>
        <w:t>Liability</w:t>
      </w:r>
      <w:proofErr w:type="spellEnd"/>
      <w:r w:rsidRPr="007E3D0B">
        <w:rPr>
          <w:rFonts w:asciiTheme="minorHAnsi" w:hAnsiTheme="minorHAnsi" w:cstheme="minorHAnsi"/>
          <w:color w:val="000000" w:themeColor="text1"/>
        </w:rPr>
        <w:t xml:space="preserve"> Management.</w:t>
      </w:r>
    </w:p>
    <w:p w14:paraId="164D1D69" w14:textId="77777777" w:rsidR="00635488" w:rsidRPr="007E3D0B" w:rsidRDefault="00635488" w:rsidP="00FD4A54">
      <w:pPr>
        <w:rPr>
          <w:rFonts w:asciiTheme="minorHAnsi" w:hAnsiTheme="minorHAnsi" w:cstheme="minorHAnsi"/>
          <w:color w:val="000000" w:themeColor="text1"/>
        </w:rPr>
      </w:pPr>
    </w:p>
    <w:p w14:paraId="276DEFC8" w14:textId="77777777" w:rsidR="00FD4A54" w:rsidRPr="007E3D0B" w:rsidRDefault="00FD4A54"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Controle d</w:t>
      </w:r>
      <w:r w:rsidR="00871FD8" w:rsidRPr="007E3D0B">
        <w:rPr>
          <w:rFonts w:asciiTheme="minorHAnsi" w:hAnsiTheme="minorHAnsi" w:cstheme="minorHAnsi"/>
          <w:color w:val="000000" w:themeColor="text1"/>
          <w:sz w:val="22"/>
          <w:szCs w:val="22"/>
        </w:rPr>
        <w:t>o</w:t>
      </w:r>
      <w:r w:rsidRPr="007E3D0B">
        <w:rPr>
          <w:rFonts w:asciiTheme="minorHAnsi" w:hAnsiTheme="minorHAnsi" w:cstheme="minorHAnsi"/>
          <w:color w:val="000000" w:themeColor="text1"/>
          <w:sz w:val="22"/>
          <w:szCs w:val="22"/>
        </w:rPr>
        <w:t xml:space="preserve"> Risco Operacional</w:t>
      </w:r>
      <w:r w:rsidR="006A1E8D" w:rsidRPr="007E3D0B">
        <w:rPr>
          <w:rFonts w:asciiTheme="minorHAnsi" w:hAnsiTheme="minorHAnsi" w:cstheme="minorHAnsi"/>
          <w:color w:val="000000" w:themeColor="text1"/>
          <w:sz w:val="22"/>
          <w:szCs w:val="22"/>
        </w:rPr>
        <w:t xml:space="preserve"> e Legal</w:t>
      </w:r>
    </w:p>
    <w:p w14:paraId="3F948CB2" w14:textId="77777777" w:rsidR="009072F6" w:rsidRPr="007E3D0B" w:rsidRDefault="003C1219" w:rsidP="003C1219">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minimizar o impacto causado por erros operacionais e legais, que levam a possíveis </w:t>
      </w:r>
      <w:r w:rsidR="00C24AE2" w:rsidRPr="007E3D0B">
        <w:rPr>
          <w:rFonts w:asciiTheme="minorHAnsi" w:hAnsiTheme="minorHAnsi" w:cstheme="minorHAnsi"/>
          <w:color w:val="000000" w:themeColor="text1"/>
        </w:rPr>
        <w:t xml:space="preserve">perdas financeiras, danos à reputação, interrupção das operações ou até </w:t>
      </w:r>
      <w:r w:rsidR="001258EF" w:rsidRPr="007E3D0B">
        <w:rPr>
          <w:rFonts w:asciiTheme="minorHAnsi" w:hAnsiTheme="minorHAnsi" w:cstheme="minorHAnsi"/>
          <w:color w:val="000000" w:themeColor="text1"/>
        </w:rPr>
        <w:t xml:space="preserve">processos </w:t>
      </w:r>
      <w:r w:rsidR="001F6A78" w:rsidRPr="007E3D0B">
        <w:rPr>
          <w:rFonts w:asciiTheme="minorHAnsi" w:hAnsiTheme="minorHAnsi" w:cstheme="minorHAnsi"/>
          <w:color w:val="000000" w:themeColor="text1"/>
        </w:rPr>
        <w:t xml:space="preserve">administrativos </w:t>
      </w:r>
      <w:r w:rsidR="001258EF" w:rsidRPr="007E3D0B">
        <w:rPr>
          <w:rFonts w:asciiTheme="minorHAnsi" w:hAnsiTheme="minorHAnsi" w:cstheme="minorHAnsi"/>
          <w:color w:val="000000" w:themeColor="text1"/>
        </w:rPr>
        <w:t>e sindicâncias</w:t>
      </w:r>
      <w:r w:rsidR="00492C2B"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 xml:space="preserve">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classifica como </w:t>
      </w:r>
      <w:r w:rsidR="009072F6" w:rsidRPr="007E3D0B">
        <w:rPr>
          <w:rFonts w:asciiTheme="minorHAnsi" w:hAnsiTheme="minorHAnsi" w:cstheme="minorHAnsi"/>
          <w:color w:val="000000" w:themeColor="text1"/>
        </w:rPr>
        <w:t>importante</w:t>
      </w:r>
      <w:r w:rsidRPr="007E3D0B">
        <w:rPr>
          <w:rFonts w:asciiTheme="minorHAnsi" w:hAnsiTheme="minorHAnsi" w:cstheme="minorHAnsi"/>
          <w:color w:val="000000" w:themeColor="text1"/>
        </w:rPr>
        <w:t xml:space="preserve"> a implantação do</w:t>
      </w:r>
      <w:r w:rsidR="009072F6" w:rsidRPr="007E3D0B">
        <w:rPr>
          <w:rFonts w:asciiTheme="minorHAnsi" w:hAnsiTheme="minorHAnsi" w:cstheme="minorHAnsi"/>
          <w:color w:val="000000" w:themeColor="text1"/>
        </w:rPr>
        <w:t xml:space="preserve"> processo de gestão de riscos</w:t>
      </w:r>
      <w:r w:rsidRPr="007E3D0B">
        <w:rPr>
          <w:rFonts w:asciiTheme="minorHAnsi" w:hAnsiTheme="minorHAnsi" w:cstheme="minorHAnsi"/>
          <w:color w:val="000000" w:themeColor="text1"/>
        </w:rPr>
        <w:t>, que possibilitem</w:t>
      </w:r>
      <w:r w:rsidR="009072F6" w:rsidRPr="007E3D0B">
        <w:rPr>
          <w:rFonts w:asciiTheme="minorHAnsi" w:hAnsiTheme="minorHAnsi" w:cstheme="minorHAnsi"/>
          <w:color w:val="000000" w:themeColor="text1"/>
        </w:rPr>
        <w:t xml:space="preserve"> identificar, avaliar e mitigar</w:t>
      </w:r>
      <w:r w:rsidRPr="007E3D0B">
        <w:rPr>
          <w:rFonts w:asciiTheme="minorHAnsi" w:hAnsiTheme="minorHAnsi" w:cstheme="minorHAnsi"/>
          <w:color w:val="000000" w:themeColor="text1"/>
        </w:rPr>
        <w:t xml:space="preserve"> esses</w:t>
      </w:r>
      <w:r w:rsidR="009072F6" w:rsidRPr="007E3D0B">
        <w:rPr>
          <w:rFonts w:asciiTheme="minorHAnsi" w:hAnsiTheme="minorHAnsi" w:cstheme="minorHAnsi"/>
          <w:color w:val="000000" w:themeColor="text1"/>
        </w:rPr>
        <w:t xml:space="preserve"> riscos.</w:t>
      </w:r>
    </w:p>
    <w:p w14:paraId="40E6559E" w14:textId="77777777" w:rsidR="00362C05" w:rsidRPr="007E3D0B" w:rsidRDefault="009072F6" w:rsidP="00FD4A54">
      <w:pPr>
        <w:rPr>
          <w:rFonts w:asciiTheme="minorHAnsi" w:hAnsiTheme="minorHAnsi" w:cstheme="minorHAnsi"/>
          <w:color w:val="000000" w:themeColor="text1"/>
        </w:rPr>
      </w:pPr>
      <w:r w:rsidRPr="007E3D0B">
        <w:rPr>
          <w:rFonts w:asciiTheme="minorHAnsi" w:hAnsiTheme="minorHAnsi" w:cstheme="minorHAnsi"/>
          <w:color w:val="000000" w:themeColor="text1"/>
        </w:rPr>
        <w:t>O</w:t>
      </w:r>
      <w:r w:rsidR="001F6A78" w:rsidRPr="007E3D0B">
        <w:rPr>
          <w:rFonts w:asciiTheme="minorHAnsi" w:hAnsiTheme="minorHAnsi" w:cstheme="minorHAnsi"/>
          <w:color w:val="000000" w:themeColor="text1"/>
        </w:rPr>
        <w:t xml:space="preserve"> </w:t>
      </w:r>
      <w:r w:rsidRPr="007E3D0B">
        <w:rPr>
          <w:rFonts w:asciiTheme="minorHAnsi" w:hAnsiTheme="minorHAnsi" w:cstheme="minorHAnsi"/>
          <w:b/>
          <w:color w:val="000000" w:themeColor="text1"/>
        </w:rPr>
        <w:t>INSTITUTO DE PREVIDÊNCIA MUNICIPAL DE SANTO ANTÔNIO DE POSSE - IPREM POSSE</w:t>
      </w:r>
      <w:r w:rsidR="001F6A78" w:rsidRPr="007E3D0B">
        <w:rPr>
          <w:rFonts w:asciiTheme="minorHAnsi" w:hAnsiTheme="minorHAnsi" w:cstheme="minorHAnsi"/>
          <w:color w:val="000000" w:themeColor="text1"/>
        </w:rPr>
        <w:t xml:space="preserve"> </w:t>
      </w:r>
      <w:r w:rsidR="00A75D9A" w:rsidRPr="007E3D0B">
        <w:rPr>
          <w:rFonts w:asciiTheme="minorHAnsi" w:hAnsiTheme="minorHAnsi" w:cstheme="minorHAnsi"/>
          <w:color w:val="000000" w:themeColor="text1"/>
        </w:rPr>
        <w:t xml:space="preserve">poderá </w:t>
      </w:r>
      <w:r w:rsidR="001F6A78" w:rsidRPr="007E3D0B">
        <w:rPr>
          <w:rFonts w:asciiTheme="minorHAnsi" w:hAnsiTheme="minorHAnsi" w:cstheme="minorHAnsi"/>
          <w:color w:val="000000" w:themeColor="text1"/>
        </w:rPr>
        <w:t>adotar</w:t>
      </w:r>
      <w:r w:rsidRPr="007E3D0B">
        <w:rPr>
          <w:rFonts w:asciiTheme="minorHAnsi" w:hAnsiTheme="minorHAnsi" w:cstheme="minorHAnsi"/>
          <w:color w:val="000000" w:themeColor="text1"/>
        </w:rPr>
        <w:t xml:space="preserve"> </w:t>
      </w:r>
      <w:r w:rsidR="003C1219" w:rsidRPr="007E3D0B">
        <w:rPr>
          <w:rFonts w:asciiTheme="minorHAnsi" w:hAnsiTheme="minorHAnsi" w:cstheme="minorHAnsi"/>
          <w:color w:val="000000" w:themeColor="text1"/>
        </w:rPr>
        <w:t xml:space="preserve">a Certificação Institucional </w:t>
      </w:r>
      <w:r w:rsidR="000F7D32" w:rsidRPr="007E3D0B">
        <w:rPr>
          <w:rFonts w:asciiTheme="minorHAnsi" w:hAnsiTheme="minorHAnsi" w:cstheme="minorHAnsi"/>
          <w:color w:val="000000" w:themeColor="text1"/>
        </w:rPr>
        <w:t>Pró-Gestão como mecanismo</w:t>
      </w:r>
      <w:r w:rsidR="003C1219" w:rsidRPr="007E3D0B">
        <w:rPr>
          <w:rFonts w:asciiTheme="minorHAnsi" w:hAnsiTheme="minorHAnsi" w:cstheme="minorHAnsi"/>
          <w:color w:val="000000" w:themeColor="text1"/>
        </w:rPr>
        <w:t xml:space="preserve"> e sistema</w:t>
      </w:r>
      <w:r w:rsidR="000F7D32" w:rsidRPr="007E3D0B">
        <w:rPr>
          <w:rFonts w:asciiTheme="minorHAnsi" w:hAnsiTheme="minorHAnsi" w:cstheme="minorHAnsi"/>
          <w:color w:val="000000" w:themeColor="text1"/>
        </w:rPr>
        <w:t xml:space="preserve"> de qualidade</w:t>
      </w:r>
      <w:r w:rsidR="00562FB5" w:rsidRPr="007E3D0B">
        <w:rPr>
          <w:rFonts w:asciiTheme="minorHAnsi" w:hAnsiTheme="minorHAnsi" w:cstheme="minorHAnsi"/>
          <w:color w:val="000000" w:themeColor="text1"/>
        </w:rPr>
        <w:t xml:space="preserve"> </w:t>
      </w:r>
      <w:r w:rsidRPr="007E3D0B">
        <w:rPr>
          <w:rFonts w:asciiTheme="minorHAnsi" w:hAnsiTheme="minorHAnsi" w:cstheme="minorHAnsi"/>
          <w:color w:val="000000" w:themeColor="text1"/>
        </w:rPr>
        <w:t>para minimizar o impacto</w:t>
      </w:r>
      <w:r w:rsidR="00D1663C" w:rsidRPr="007E3D0B">
        <w:rPr>
          <w:rFonts w:asciiTheme="minorHAnsi" w:hAnsiTheme="minorHAnsi" w:cstheme="minorHAnsi"/>
          <w:color w:val="000000" w:themeColor="text1"/>
        </w:rPr>
        <w:t xml:space="preserve"> do risco operacional e legal</w:t>
      </w:r>
      <w:r w:rsidR="00562FB5" w:rsidRPr="007E3D0B">
        <w:rPr>
          <w:rFonts w:asciiTheme="minorHAnsi" w:hAnsiTheme="minorHAnsi" w:cstheme="minorHAnsi"/>
          <w:color w:val="000000" w:themeColor="text1"/>
        </w:rPr>
        <w:t>.</w:t>
      </w:r>
    </w:p>
    <w:p w14:paraId="4D60FBF7" w14:textId="5FDD3147" w:rsidR="00104A72" w:rsidRPr="007E3D0B" w:rsidRDefault="00F934E2" w:rsidP="00FD4A54">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 adesão a Certificação Institucional Pró-Gestão tem por objetivo incentivar 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 adotar melhores práticas de gestão </w:t>
      </w:r>
      <w:r w:rsidR="00291F53" w:rsidRPr="007E3D0B">
        <w:rPr>
          <w:rFonts w:asciiTheme="minorHAnsi" w:hAnsiTheme="minorHAnsi" w:cstheme="minorHAnsi"/>
          <w:color w:val="000000" w:themeColor="text1"/>
        </w:rPr>
        <w:t>e governança</w:t>
      </w:r>
      <w:r w:rsidRPr="007E3D0B">
        <w:rPr>
          <w:rFonts w:asciiTheme="minorHAnsi" w:hAnsiTheme="minorHAnsi" w:cstheme="minorHAnsi"/>
          <w:color w:val="000000" w:themeColor="text1"/>
        </w:rPr>
        <w:t xml:space="preserve">, </w:t>
      </w:r>
      <w:r w:rsidR="00291F53" w:rsidRPr="007E3D0B">
        <w:rPr>
          <w:rFonts w:asciiTheme="minorHAnsi" w:hAnsiTheme="minorHAnsi" w:cstheme="minorHAnsi"/>
          <w:color w:val="000000" w:themeColor="text1"/>
        </w:rPr>
        <w:t>proporcionando</w:t>
      </w:r>
      <w:r w:rsidRPr="007E3D0B">
        <w:rPr>
          <w:rFonts w:asciiTheme="minorHAnsi" w:hAnsiTheme="minorHAnsi" w:cstheme="minorHAnsi"/>
          <w:color w:val="000000" w:themeColor="text1"/>
        </w:rPr>
        <w:t xml:space="preserve"> maior controle dos seus ativos e passivos, </w:t>
      </w:r>
      <w:r w:rsidR="0036587D" w:rsidRPr="007E3D0B">
        <w:rPr>
          <w:rFonts w:asciiTheme="minorHAnsi" w:hAnsiTheme="minorHAnsi" w:cstheme="minorHAnsi"/>
          <w:color w:val="000000" w:themeColor="text1"/>
        </w:rPr>
        <w:t>aprimoramento</w:t>
      </w:r>
      <w:r w:rsidR="00AD5B16" w:rsidRPr="007E3D0B">
        <w:rPr>
          <w:rFonts w:asciiTheme="minorHAnsi" w:hAnsiTheme="minorHAnsi" w:cstheme="minorHAnsi"/>
          <w:color w:val="000000" w:themeColor="text1"/>
        </w:rPr>
        <w:t xml:space="preserve"> d</w:t>
      </w:r>
      <w:r w:rsidR="0036587D" w:rsidRPr="007E3D0B">
        <w:rPr>
          <w:rFonts w:asciiTheme="minorHAnsi" w:hAnsiTheme="minorHAnsi" w:cstheme="minorHAnsi"/>
          <w:color w:val="000000" w:themeColor="text1"/>
        </w:rPr>
        <w:t>a</w:t>
      </w:r>
      <w:r w:rsidR="00AD5B16" w:rsidRPr="007E3D0B">
        <w:rPr>
          <w:rFonts w:asciiTheme="minorHAnsi" w:hAnsiTheme="minorHAnsi" w:cstheme="minorHAnsi"/>
          <w:color w:val="000000" w:themeColor="text1"/>
        </w:rPr>
        <w:t xml:space="preserve"> qualidade</w:t>
      </w:r>
      <w:r w:rsidR="0036587D" w:rsidRPr="007E3D0B">
        <w:rPr>
          <w:rFonts w:asciiTheme="minorHAnsi" w:hAnsiTheme="minorHAnsi" w:cstheme="minorHAnsi"/>
          <w:color w:val="000000" w:themeColor="text1"/>
        </w:rPr>
        <w:t xml:space="preserve"> da governança no âmbito da gestão dos riscos, </w:t>
      </w:r>
      <w:r w:rsidRPr="007E3D0B">
        <w:rPr>
          <w:rFonts w:asciiTheme="minorHAnsi" w:hAnsiTheme="minorHAnsi" w:cstheme="minorHAnsi"/>
          <w:color w:val="000000" w:themeColor="text1"/>
        </w:rPr>
        <w:t>mais transparência no relacionamento com os segurados e a sociedade.</w:t>
      </w:r>
    </w:p>
    <w:p w14:paraId="1CAF0D3F" w14:textId="77777777" w:rsidR="00500AE2" w:rsidRPr="007E3D0B" w:rsidRDefault="002F7351" w:rsidP="004F698B">
      <w:pPr>
        <w:pStyle w:val="Ttulo1"/>
        <w:rPr>
          <w:rFonts w:asciiTheme="minorHAnsi" w:hAnsiTheme="minorHAnsi" w:cstheme="minorHAnsi"/>
          <w:color w:val="000000" w:themeColor="text1"/>
          <w:sz w:val="22"/>
          <w:szCs w:val="22"/>
        </w:rPr>
      </w:pPr>
      <w:bookmarkStart w:id="98" w:name="_Toc118105152"/>
      <w:bookmarkStart w:id="99" w:name="_Toc213399435"/>
      <w:r w:rsidRPr="007E3D0B">
        <w:rPr>
          <w:rFonts w:asciiTheme="minorHAnsi" w:hAnsiTheme="minorHAnsi" w:cstheme="minorHAnsi"/>
          <w:color w:val="000000" w:themeColor="text1"/>
          <w:sz w:val="22"/>
          <w:szCs w:val="22"/>
        </w:rPr>
        <w:t>ESTUDO DE ALM - ASSET LIABILITY MANAGEMENT</w:t>
      </w:r>
      <w:bookmarkEnd w:id="98"/>
      <w:bookmarkEnd w:id="99"/>
    </w:p>
    <w:p w14:paraId="029BED8D" w14:textId="77777777" w:rsidR="0013671B" w:rsidRPr="007E3D0B" w:rsidRDefault="0013671B" w:rsidP="0013671B">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aplicações dos recursos e sua manutenção deverão observar a compatibilidade entre os ativos investidos e os prazos, montantes e taxas das obrigações atuariais presentes e futuras do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de forma a assegurar o equilíbrio econômico-financeiro entre ativos e passivos.</w:t>
      </w:r>
    </w:p>
    <w:p w14:paraId="32F4EE86" w14:textId="77777777" w:rsidR="0013671B" w:rsidRPr="007E3D0B" w:rsidRDefault="0013671B" w:rsidP="0013671B">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garantir essa compatibilidade, os responsáveis pelo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deverão manter procedimentos e controles internos formalizados para a gestão do risco de liquidez das aplicações, assegurando que os recursos estejam disponíveis na data de pagamento dos benefícios e demais obrigações. O acompanhamento dos fluxos de pagamentos dos ativos é imprescindível para garantir a aderência aos prazos e valores das obrigações previdenciárias.</w:t>
      </w:r>
    </w:p>
    <w:p w14:paraId="796F5C47" w14:textId="77777777" w:rsidR="0013671B" w:rsidRPr="007E3D0B" w:rsidRDefault="0013671B" w:rsidP="0013671B">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 o objetivo de cumprir essas diretrizes, 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w:t>
      </w:r>
      <w:r w:rsidR="00821A9D" w:rsidRPr="007E3D0B">
        <w:rPr>
          <w:rFonts w:asciiTheme="minorHAnsi" w:hAnsiTheme="minorHAnsi" w:cstheme="minorHAnsi"/>
          <w:color w:val="000000" w:themeColor="text1"/>
        </w:rPr>
        <w:t xml:space="preserve">poderá </w:t>
      </w:r>
      <w:r w:rsidRPr="007E3D0B">
        <w:rPr>
          <w:rFonts w:asciiTheme="minorHAnsi" w:hAnsiTheme="minorHAnsi" w:cstheme="minorHAnsi"/>
          <w:color w:val="000000" w:themeColor="text1"/>
        </w:rPr>
        <w:t xml:space="preserve">adotar a ferramenta de gestão conhecida como Estudo de </w:t>
      </w:r>
      <w:r w:rsidRPr="007E3D0B">
        <w:rPr>
          <w:rFonts w:asciiTheme="minorHAnsi" w:hAnsiTheme="minorHAnsi" w:cstheme="minorHAnsi"/>
          <w:b/>
          <w:bCs/>
          <w:color w:val="000000" w:themeColor="text1"/>
        </w:rPr>
        <w:t xml:space="preserve">ALM – </w:t>
      </w:r>
      <w:proofErr w:type="spellStart"/>
      <w:r w:rsidRPr="007E3D0B">
        <w:rPr>
          <w:rFonts w:asciiTheme="minorHAnsi" w:hAnsiTheme="minorHAnsi" w:cstheme="minorHAnsi"/>
          <w:b/>
          <w:bCs/>
          <w:color w:val="000000" w:themeColor="text1"/>
        </w:rPr>
        <w:t>Asset</w:t>
      </w:r>
      <w:proofErr w:type="spellEnd"/>
      <w:r w:rsidRPr="007E3D0B">
        <w:rPr>
          <w:rFonts w:asciiTheme="minorHAnsi" w:hAnsiTheme="minorHAnsi" w:cstheme="minorHAnsi"/>
          <w:b/>
          <w:bCs/>
          <w:color w:val="000000" w:themeColor="text1"/>
        </w:rPr>
        <w:t xml:space="preserve"> </w:t>
      </w:r>
      <w:proofErr w:type="spellStart"/>
      <w:r w:rsidRPr="007E3D0B">
        <w:rPr>
          <w:rFonts w:asciiTheme="minorHAnsi" w:hAnsiTheme="minorHAnsi" w:cstheme="minorHAnsi"/>
          <w:b/>
          <w:bCs/>
          <w:color w:val="000000" w:themeColor="text1"/>
        </w:rPr>
        <w:t>Liability</w:t>
      </w:r>
      <w:proofErr w:type="spellEnd"/>
      <w:r w:rsidRPr="007E3D0B">
        <w:rPr>
          <w:rFonts w:asciiTheme="minorHAnsi" w:hAnsiTheme="minorHAnsi" w:cstheme="minorHAnsi"/>
          <w:b/>
          <w:bCs/>
          <w:color w:val="000000" w:themeColor="text1"/>
        </w:rPr>
        <w:t xml:space="preserve"> Management</w:t>
      </w:r>
      <w:r w:rsidRPr="007E3D0B">
        <w:rPr>
          <w:rFonts w:asciiTheme="minorHAnsi" w:hAnsiTheme="minorHAnsi" w:cstheme="minorHAnsi"/>
          <w:color w:val="000000" w:themeColor="text1"/>
        </w:rPr>
        <w:t>. Este estudo compreende a análise detalhada da liquidez da carteira de investimentos frente aos compromissos presentes e futuros, permitindo identificar a melhor trajetória para o cumprimento da meta atuarial, buscando a otimização da carteira e preservando o resultado financeiro no curto, médio e longo prazos.</w:t>
      </w:r>
    </w:p>
    <w:p w14:paraId="4033F938" w14:textId="77777777" w:rsidR="00500AE2" w:rsidRDefault="0013671B" w:rsidP="0013671B">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Estudo de ALM deverá ser elaborado, no mínimo, uma vez ao ano, após o fechamento da Avaliação Atuarial. Além disso, seu acompanhamento deverá ocorrer de forma periódica, com a emissão de relatórios </w:t>
      </w:r>
      <w:r w:rsidRPr="007E3D0B">
        <w:rPr>
          <w:rFonts w:asciiTheme="minorHAnsi" w:hAnsiTheme="minorHAnsi" w:cstheme="minorHAnsi"/>
          <w:color w:val="000000" w:themeColor="text1"/>
        </w:rPr>
        <w:lastRenderedPageBreak/>
        <w:t xml:space="preserve">de atualização em intervalos não </w:t>
      </w:r>
      <w:proofErr w:type="spellStart"/>
      <w:r w:rsidRPr="007E3D0B">
        <w:rPr>
          <w:rFonts w:asciiTheme="minorHAnsi" w:hAnsiTheme="minorHAnsi" w:cstheme="minorHAnsi"/>
          <w:color w:val="000000" w:themeColor="text1"/>
        </w:rPr>
        <w:t>superiores</w:t>
      </w:r>
      <w:proofErr w:type="spellEnd"/>
      <w:r w:rsidRPr="007E3D0B">
        <w:rPr>
          <w:rFonts w:asciiTheme="minorHAnsi" w:hAnsiTheme="minorHAnsi" w:cstheme="minorHAnsi"/>
          <w:color w:val="000000" w:themeColor="text1"/>
        </w:rPr>
        <w:t xml:space="preserve"> a seis meses, possibilitando ajustes tempestivos e a constante aderência entre ativos e passivos.</w:t>
      </w:r>
    </w:p>
    <w:p w14:paraId="252A8033" w14:textId="77777777" w:rsidR="00500AE2" w:rsidRPr="007E3D0B" w:rsidRDefault="002F7351" w:rsidP="004F698B">
      <w:pPr>
        <w:pStyle w:val="Ttulo1"/>
        <w:rPr>
          <w:rFonts w:asciiTheme="minorHAnsi" w:hAnsiTheme="minorHAnsi" w:cstheme="minorHAnsi"/>
          <w:color w:val="000000" w:themeColor="text1"/>
          <w:sz w:val="22"/>
          <w:szCs w:val="22"/>
        </w:rPr>
      </w:pPr>
      <w:bookmarkStart w:id="100" w:name="_Toc118105153"/>
      <w:bookmarkStart w:id="101" w:name="_Toc213399436"/>
      <w:r w:rsidRPr="007E3D0B">
        <w:rPr>
          <w:rFonts w:asciiTheme="minorHAnsi" w:hAnsiTheme="minorHAnsi" w:cstheme="minorHAnsi"/>
          <w:color w:val="000000" w:themeColor="text1"/>
          <w:sz w:val="22"/>
          <w:szCs w:val="22"/>
        </w:rPr>
        <w:t>EQUILÍBRIO ECONÔMICO E FINANCEIRO</w:t>
      </w:r>
      <w:bookmarkEnd w:id="100"/>
      <w:bookmarkEnd w:id="101"/>
      <w:r w:rsidRPr="007E3D0B">
        <w:rPr>
          <w:rFonts w:asciiTheme="minorHAnsi" w:hAnsiTheme="minorHAnsi" w:cstheme="minorHAnsi"/>
          <w:color w:val="000000" w:themeColor="text1"/>
          <w:sz w:val="22"/>
          <w:szCs w:val="22"/>
        </w:rPr>
        <w:t xml:space="preserve"> </w:t>
      </w:r>
    </w:p>
    <w:p w14:paraId="6A84EFD4" w14:textId="77777777" w:rsidR="00F73953" w:rsidRPr="007E3D0B" w:rsidRDefault="00F73953" w:rsidP="00F73953">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Em atendimento ao disposto no Art. 64, §§1º e 2º, da Portaria MTP nº 1.467/2022,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adotará medidas para honrar os compromissos estabelecidos no Plano de Custeio e/ou no Plano de Segregação de Massas, se houver, assegurando a adequação do Plano de Custeio aprovado e sua compatibilidade com a capacidade orçamentária e financeira do Ente Federativo.</w:t>
      </w:r>
    </w:p>
    <w:p w14:paraId="08F186EA" w14:textId="77777777" w:rsidR="00F73953" w:rsidRPr="007E3D0B" w:rsidRDefault="00F73953" w:rsidP="00F73953">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Para tanto,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poderá recorrer a consultoria especializada para a emissão de estudo de viabilidade que avalie a situação econômica, financeira e orçamentária, com vistas a propor medidas de equacionamento no curto, médio e longo prazos.</w:t>
      </w:r>
    </w:p>
    <w:p w14:paraId="34D16BE4" w14:textId="77777777" w:rsidR="00F73953" w:rsidRDefault="00F73953" w:rsidP="00F73953">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Adicionalmente,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realizará acompanhamento contínuo das informações constantes em seus demonstrativos, os quais deverão ser encaminhados aos órgãos de controle interno e externo, com o objetivo de subsidiar a análise da capacidade econômica, financeira e orçamentária, garantindo o cumprimento das obrigações presentes e futuras.</w:t>
      </w:r>
    </w:p>
    <w:p w14:paraId="5E1C95DA" w14:textId="77777777" w:rsidR="00500AE2" w:rsidRPr="007E3D0B" w:rsidRDefault="00500AE2" w:rsidP="004F698B">
      <w:pPr>
        <w:pStyle w:val="Ttulo1"/>
        <w:rPr>
          <w:rFonts w:asciiTheme="minorHAnsi" w:hAnsiTheme="minorHAnsi" w:cstheme="minorHAnsi"/>
          <w:color w:val="000000" w:themeColor="text1"/>
          <w:sz w:val="22"/>
          <w:szCs w:val="22"/>
        </w:rPr>
      </w:pPr>
      <w:bookmarkStart w:id="102" w:name="_Toc435189696"/>
      <w:bookmarkStart w:id="103" w:name="_Toc435202754"/>
      <w:bookmarkStart w:id="104" w:name="_Toc490036560"/>
      <w:bookmarkStart w:id="105" w:name="_Toc118105154"/>
      <w:bookmarkStart w:id="106" w:name="_Toc213399437"/>
      <w:r w:rsidRPr="007E3D0B">
        <w:rPr>
          <w:rFonts w:asciiTheme="minorHAnsi" w:hAnsiTheme="minorHAnsi" w:cstheme="minorHAnsi"/>
          <w:color w:val="000000" w:themeColor="text1"/>
          <w:sz w:val="22"/>
          <w:szCs w:val="22"/>
        </w:rPr>
        <w:t>P</w:t>
      </w:r>
      <w:bookmarkEnd w:id="102"/>
      <w:r w:rsidRPr="007E3D0B">
        <w:rPr>
          <w:rFonts w:asciiTheme="minorHAnsi" w:hAnsiTheme="minorHAnsi" w:cstheme="minorHAnsi"/>
          <w:color w:val="000000" w:themeColor="text1"/>
          <w:sz w:val="22"/>
          <w:szCs w:val="22"/>
        </w:rPr>
        <w:t>OLÍTICA DE TRANSPARÊNCIA</w:t>
      </w:r>
      <w:bookmarkEnd w:id="103"/>
      <w:bookmarkEnd w:id="104"/>
      <w:bookmarkEnd w:id="105"/>
      <w:bookmarkEnd w:id="106"/>
    </w:p>
    <w:p w14:paraId="09ADC62F" w14:textId="77777777" w:rsidR="00160495" w:rsidRPr="007E3D0B" w:rsidRDefault="00160495" w:rsidP="00160495">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Conforme a Portaria MTP nº 1.467/2022, as informações contidas </w:t>
      </w:r>
      <w:proofErr w:type="spellStart"/>
      <w:r w:rsidRPr="007E3D0B">
        <w:rPr>
          <w:rFonts w:asciiTheme="minorHAnsi" w:hAnsiTheme="minorHAnsi" w:cstheme="minorHAnsi"/>
          <w:color w:val="000000" w:themeColor="text1"/>
        </w:rPr>
        <w:t>nesta</w:t>
      </w:r>
      <w:proofErr w:type="spellEnd"/>
      <w:r w:rsidRPr="007E3D0B">
        <w:rPr>
          <w:rFonts w:asciiTheme="minorHAnsi" w:hAnsiTheme="minorHAnsi" w:cstheme="minorHAnsi"/>
          <w:color w:val="000000" w:themeColor="text1"/>
        </w:rPr>
        <w:t xml:space="preserve"> Política de Investimentos, bem como em suas eventuais revisões, deverão ser disponibilizadas aos interessados no prazo máximo de 30 (trinta) dias contados da sua aprovação.</w:t>
      </w:r>
    </w:p>
    <w:p w14:paraId="6A98A175" w14:textId="77777777" w:rsidR="00160495" w:rsidRPr="007E3D0B" w:rsidRDefault="00160495" w:rsidP="00160495">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Atendendo ainda ao disposto no art. 4º, incisos I a V, §§1º e 2º, e no art. 5º da Resolução CMN nº 4.963/2021, a Política de Investimentos deverá ser publicada no site oficial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no Diário Oficial do Município ou em outro meio de fácil acesso e ampla visualização, sem prejuízo de sua divulgação em demais canais oficiais de comunicação.</w:t>
      </w:r>
    </w:p>
    <w:p w14:paraId="7C770208" w14:textId="77777777" w:rsidR="00160495" w:rsidRPr="007E3D0B" w:rsidRDefault="00160495" w:rsidP="00160495">
      <w:pPr>
        <w:rPr>
          <w:rFonts w:asciiTheme="minorHAnsi" w:hAnsiTheme="minorHAnsi" w:cstheme="minorHAnsi"/>
          <w:color w:val="000000" w:themeColor="text1"/>
        </w:rPr>
      </w:pPr>
      <w:r w:rsidRPr="007E3D0B">
        <w:rPr>
          <w:rFonts w:asciiTheme="minorHAnsi" w:hAnsiTheme="minorHAnsi" w:cstheme="minorHAnsi"/>
          <w:color w:val="000000" w:themeColor="text1"/>
        </w:rPr>
        <w:t>Além da Política de Investimentos, todos os documentos relacionados à análise, avaliação, gerenciamento, assessoramento e tomada de decisão deverão ser disponibilizados, preferencialmente, no Portal da Transparência, de forma íntegra, clara e tempestiva, garantindo o pleno acesso às informações por parte da sociedade e dos órgãos de controle.</w:t>
      </w:r>
    </w:p>
    <w:p w14:paraId="7C95E8C2" w14:textId="77777777" w:rsidR="00160495" w:rsidRPr="007E3D0B" w:rsidRDefault="00160495" w:rsidP="00160495">
      <w:pPr>
        <w:rPr>
          <w:rFonts w:asciiTheme="minorHAnsi" w:hAnsiTheme="minorHAnsi" w:cstheme="minorHAnsi"/>
          <w:color w:val="000000" w:themeColor="text1"/>
        </w:rPr>
      </w:pPr>
      <w:r w:rsidRPr="007E3D0B">
        <w:rPr>
          <w:rFonts w:asciiTheme="minorHAnsi" w:hAnsiTheme="minorHAnsi" w:cstheme="minorHAnsi"/>
          <w:color w:val="000000" w:themeColor="text1"/>
        </w:rPr>
        <w:t>A observância da transparência alcança, de forma especial, os órgãos de fiscalização e supervisão, como a Secretaria de Previdência – SPREV, o Tribunal de Contas do Estado – TCE, o Ministério Público e demais instâncias competentes, os quais deverão receber, sempre que requisitado, informações, relatórios e documentos que subsidiem a análise da regularidade e da sustentabilidade da gestão previdenciária.</w:t>
      </w:r>
    </w:p>
    <w:p w14:paraId="1E0F646C" w14:textId="77777777" w:rsidR="00160495" w:rsidRPr="007E3D0B" w:rsidRDefault="00160495" w:rsidP="00160495">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Neste sentido,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reafirma o compromisso de manter níveis adequados de divulgação, clareza e acessibilidade, assegurando que todos os interessados, internos ou externos, tenham conhecimento tempestivo sobre a condução dos investimentos, decisões do Comitê de Investimentos, e resultados obtidos, fortalecendo a governança e a confiança institucional.</w:t>
      </w:r>
    </w:p>
    <w:p w14:paraId="4F8C4625" w14:textId="77777777" w:rsidR="00377B54" w:rsidRPr="007E3D0B" w:rsidRDefault="00377B54" w:rsidP="00160495">
      <w:pPr>
        <w:rPr>
          <w:rFonts w:asciiTheme="minorHAnsi" w:hAnsiTheme="minorHAnsi" w:cstheme="minorHAnsi"/>
          <w:color w:val="000000" w:themeColor="text1"/>
        </w:rPr>
      </w:pPr>
      <w:r w:rsidRPr="007E3D0B">
        <w:rPr>
          <w:rFonts w:asciiTheme="minorHAnsi" w:hAnsiTheme="minorHAnsi" w:cstheme="minorHAnsi"/>
          <w:color w:val="000000" w:themeColor="text1"/>
        </w:rPr>
        <w:br w:type="page"/>
      </w:r>
    </w:p>
    <w:p w14:paraId="536BDB26" w14:textId="77777777" w:rsidR="00500AE2" w:rsidRPr="007E3D0B" w:rsidRDefault="00500AE2" w:rsidP="004F698B">
      <w:pPr>
        <w:pStyle w:val="Ttulo1"/>
        <w:rPr>
          <w:rFonts w:asciiTheme="minorHAnsi" w:hAnsiTheme="minorHAnsi" w:cstheme="minorHAnsi"/>
          <w:color w:val="000000" w:themeColor="text1"/>
          <w:sz w:val="22"/>
          <w:szCs w:val="22"/>
        </w:rPr>
      </w:pPr>
      <w:bookmarkStart w:id="107" w:name="_Toc435189697"/>
      <w:bookmarkStart w:id="108" w:name="_Toc435202755"/>
      <w:bookmarkStart w:id="109" w:name="_Toc490036561"/>
      <w:bookmarkStart w:id="110" w:name="_Toc118105155"/>
      <w:bookmarkStart w:id="111" w:name="_Toc213399438"/>
      <w:r w:rsidRPr="007E3D0B">
        <w:rPr>
          <w:rFonts w:asciiTheme="minorHAnsi" w:hAnsiTheme="minorHAnsi" w:cstheme="minorHAnsi"/>
          <w:color w:val="000000" w:themeColor="text1"/>
          <w:sz w:val="22"/>
          <w:szCs w:val="22"/>
        </w:rPr>
        <w:lastRenderedPageBreak/>
        <w:t>CREDENCIAMENTO</w:t>
      </w:r>
      <w:bookmarkEnd w:id="107"/>
      <w:bookmarkEnd w:id="108"/>
      <w:bookmarkEnd w:id="109"/>
      <w:bookmarkEnd w:id="110"/>
      <w:r w:rsidR="00EE036D" w:rsidRPr="007E3D0B">
        <w:rPr>
          <w:rFonts w:asciiTheme="minorHAnsi" w:hAnsiTheme="minorHAnsi" w:cstheme="minorHAnsi"/>
          <w:color w:val="000000" w:themeColor="text1"/>
          <w:sz w:val="22"/>
          <w:szCs w:val="22"/>
        </w:rPr>
        <w:t xml:space="preserve"> E DUE DILIGENCE</w:t>
      </w:r>
      <w:bookmarkEnd w:id="111"/>
    </w:p>
    <w:p w14:paraId="6BC3153F" w14:textId="77777777" w:rsidR="00760C11" w:rsidRPr="007E3D0B" w:rsidRDefault="00A56808"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Modalidade de Credenciamento</w:t>
      </w:r>
    </w:p>
    <w:p w14:paraId="361306ED" w14:textId="77777777" w:rsidR="00E71E10" w:rsidRPr="007E3D0B" w:rsidRDefault="00E71E10" w:rsidP="00E71E10">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Seguindo a Portaria MTP nº 1.467/2022, antes da realização de qualquer novo aporte,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por meio de seu Comitê de Investimentos, deverá assegurar que as instituições financeiras escolhidas para receber as aplicações dos recursos tenham sido objeto de prévio credenciamento.</w:t>
      </w:r>
    </w:p>
    <w:p w14:paraId="12FD8173" w14:textId="77777777" w:rsidR="00E71E10" w:rsidRPr="007E3D0B" w:rsidRDefault="00E71E10" w:rsidP="00E71E10">
      <w:pPr>
        <w:rPr>
          <w:rFonts w:asciiTheme="minorHAnsi" w:hAnsiTheme="minorHAnsi" w:cstheme="minorHAnsi"/>
          <w:bCs/>
          <w:color w:val="000000" w:themeColor="text1"/>
        </w:rPr>
      </w:pPr>
      <w:r w:rsidRPr="007E3D0B">
        <w:rPr>
          <w:rFonts w:asciiTheme="minorHAnsi" w:hAnsiTheme="minorHAnsi" w:cstheme="minorHAnsi"/>
          <w:bCs/>
          <w:color w:val="000000" w:themeColor="text1"/>
        </w:rPr>
        <w:t>Complementarmente, a Resolução CMN nº 4.963/2021, em seu art. 1º, §1º, inciso VI, e §3º, estabelece que as instituições financeiras escolhidas para receber recursos deverão passar por credenciamento prévio, incluindo o acompanhamento e a avaliação do gestor e do administrador dos fundos de investimento.</w:t>
      </w:r>
    </w:p>
    <w:p w14:paraId="225BD9F8" w14:textId="77777777" w:rsidR="00016D14" w:rsidRPr="007E3D0B" w:rsidRDefault="00E71E10" w:rsidP="00016D14">
      <w:pPr>
        <w:rPr>
          <w:rFonts w:asciiTheme="minorHAnsi" w:hAnsiTheme="minorHAnsi" w:cstheme="minorHAnsi"/>
          <w:color w:val="000000" w:themeColor="text1"/>
        </w:rPr>
      </w:pPr>
      <w:r w:rsidRPr="007E3D0B">
        <w:rPr>
          <w:rFonts w:asciiTheme="minorHAnsi" w:hAnsiTheme="minorHAnsi" w:cstheme="minorHAnsi"/>
          <w:bCs/>
          <w:color w:val="000000" w:themeColor="text1"/>
        </w:rPr>
        <w:t xml:space="preserve">Considerando essas exigências,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mediante Edital de Credenciamento, deverá atestar o cumprimento integral de todos os requisitos mínimos, incluindo</w:t>
      </w:r>
      <w:r w:rsidR="00500AE2" w:rsidRPr="007E3D0B">
        <w:rPr>
          <w:rFonts w:asciiTheme="minorHAnsi" w:hAnsiTheme="minorHAnsi" w:cstheme="minorHAnsi"/>
          <w:color w:val="000000" w:themeColor="text1"/>
        </w:rPr>
        <w:t>:</w:t>
      </w:r>
    </w:p>
    <w:p w14:paraId="38C5B39F" w14:textId="77777777" w:rsidR="00016D14" w:rsidRPr="007E3D0B" w:rsidRDefault="00016D14" w:rsidP="008B69D1">
      <w:pPr>
        <w:pStyle w:val="PargrafodaLista"/>
        <w:numPr>
          <w:ilvl w:val="0"/>
          <w:numId w:val="22"/>
        </w:numPr>
        <w:rPr>
          <w:rFonts w:asciiTheme="minorHAnsi" w:hAnsiTheme="minorHAnsi" w:cstheme="minorHAnsi"/>
          <w:color w:val="000000" w:themeColor="text1"/>
        </w:rPr>
      </w:pPr>
      <w:r w:rsidRPr="007E3D0B">
        <w:rPr>
          <w:rFonts w:asciiTheme="minorHAnsi" w:hAnsiTheme="minorHAnsi" w:cstheme="minorHAnsi"/>
          <w:bCs/>
          <w:color w:val="000000" w:themeColor="text1"/>
        </w:rPr>
        <w:t>comprovação de registro ou autorização na forma do §1º, e inexistência de suspensão ou inabilitação pelo Banco Central do Brasil, pela Comissão de Valores Mobiliários ou por outro órgão competente;</w:t>
      </w:r>
    </w:p>
    <w:p w14:paraId="13889AE7" w14:textId="77777777" w:rsidR="00016D14" w:rsidRPr="007E3D0B" w:rsidRDefault="00016D14" w:rsidP="00016D14">
      <w:pPr>
        <w:pStyle w:val="PargrafodaLista"/>
        <w:rPr>
          <w:rFonts w:asciiTheme="minorHAnsi" w:hAnsiTheme="minorHAnsi" w:cstheme="minorHAnsi"/>
          <w:color w:val="000000" w:themeColor="text1"/>
        </w:rPr>
      </w:pPr>
    </w:p>
    <w:p w14:paraId="7AAB55F9" w14:textId="77777777" w:rsidR="00016D14" w:rsidRPr="007E3D0B" w:rsidRDefault="00016D14" w:rsidP="008B69D1">
      <w:pPr>
        <w:pStyle w:val="PargrafodaLista"/>
        <w:numPr>
          <w:ilvl w:val="0"/>
          <w:numId w:val="22"/>
        </w:numPr>
        <w:rPr>
          <w:rFonts w:asciiTheme="minorHAnsi" w:hAnsiTheme="minorHAnsi" w:cstheme="minorHAnsi"/>
          <w:color w:val="000000" w:themeColor="text1"/>
        </w:rPr>
      </w:pPr>
      <w:r w:rsidRPr="007E3D0B">
        <w:rPr>
          <w:rFonts w:asciiTheme="minorHAnsi" w:hAnsiTheme="minorHAnsi" w:cstheme="minorHAnsi"/>
          <w:bCs/>
          <w:color w:val="000000" w:themeColor="text1"/>
        </w:rPr>
        <w:t>observância de elevado padrão ético de conduta nas operações realizadas no mercado financeiro, sem restrições que, a critério das autoridades reguladoras, desaconselhem a manutenção de relacionamento seguro;</w:t>
      </w:r>
    </w:p>
    <w:p w14:paraId="1A0E2B4B" w14:textId="77777777" w:rsidR="00016D14" w:rsidRPr="007E3D0B" w:rsidRDefault="00016D14" w:rsidP="00016D14">
      <w:pPr>
        <w:pStyle w:val="PargrafodaLista"/>
        <w:rPr>
          <w:rFonts w:asciiTheme="minorHAnsi" w:hAnsiTheme="minorHAnsi" w:cstheme="minorHAnsi"/>
          <w:bCs/>
          <w:color w:val="000000" w:themeColor="text1"/>
        </w:rPr>
      </w:pPr>
    </w:p>
    <w:p w14:paraId="2C9F9D36" w14:textId="77777777" w:rsidR="009328F7" w:rsidRPr="007E3D0B" w:rsidRDefault="00016D14" w:rsidP="008B69D1">
      <w:pPr>
        <w:pStyle w:val="PargrafodaLista"/>
        <w:numPr>
          <w:ilvl w:val="0"/>
          <w:numId w:val="22"/>
        </w:numPr>
        <w:rPr>
          <w:rFonts w:asciiTheme="minorHAnsi" w:hAnsiTheme="minorHAnsi" w:cstheme="minorHAnsi"/>
          <w:color w:val="000000" w:themeColor="text1"/>
        </w:rPr>
      </w:pPr>
      <w:r w:rsidRPr="007E3D0B">
        <w:rPr>
          <w:rFonts w:asciiTheme="minorHAnsi" w:hAnsiTheme="minorHAnsi" w:cstheme="minorHAnsi"/>
          <w:bCs/>
          <w:color w:val="000000" w:themeColor="text1"/>
        </w:rPr>
        <w:t>análise do histórico de atuação da instituição e de seus principais controladores;</w:t>
      </w:r>
    </w:p>
    <w:p w14:paraId="025EE69B" w14:textId="77777777" w:rsidR="009328F7" w:rsidRPr="007E3D0B" w:rsidRDefault="009328F7" w:rsidP="009328F7">
      <w:pPr>
        <w:pStyle w:val="PargrafodaLista"/>
        <w:rPr>
          <w:rFonts w:asciiTheme="minorHAnsi" w:hAnsiTheme="minorHAnsi" w:cstheme="minorHAnsi"/>
          <w:bCs/>
          <w:color w:val="000000" w:themeColor="text1"/>
        </w:rPr>
      </w:pPr>
    </w:p>
    <w:p w14:paraId="0DC16E73" w14:textId="77777777" w:rsidR="009328F7" w:rsidRPr="007E3D0B" w:rsidRDefault="00016D14" w:rsidP="008B69D1">
      <w:pPr>
        <w:pStyle w:val="PargrafodaLista"/>
        <w:numPr>
          <w:ilvl w:val="0"/>
          <w:numId w:val="22"/>
        </w:numPr>
        <w:rPr>
          <w:rFonts w:asciiTheme="minorHAnsi" w:hAnsiTheme="minorHAnsi" w:cstheme="minorHAnsi"/>
          <w:color w:val="000000" w:themeColor="text1"/>
        </w:rPr>
      </w:pPr>
      <w:r w:rsidRPr="007E3D0B">
        <w:rPr>
          <w:rFonts w:asciiTheme="minorHAnsi" w:hAnsiTheme="minorHAnsi" w:cstheme="minorHAnsi"/>
          <w:bCs/>
          <w:color w:val="000000" w:themeColor="text1"/>
        </w:rPr>
        <w:t>comprovação de experiência mínima de 5 (cinco) anos dos profissionais diretamente envolvidos na gestão de ativos de terceiros; e</w:t>
      </w:r>
    </w:p>
    <w:p w14:paraId="50B6F6B7" w14:textId="77777777" w:rsidR="009328F7" w:rsidRPr="007E3D0B" w:rsidRDefault="009328F7" w:rsidP="009328F7">
      <w:pPr>
        <w:pStyle w:val="PargrafodaLista"/>
        <w:rPr>
          <w:rFonts w:asciiTheme="minorHAnsi" w:hAnsiTheme="minorHAnsi" w:cstheme="minorHAnsi"/>
          <w:bCs/>
          <w:color w:val="000000" w:themeColor="text1"/>
        </w:rPr>
      </w:pPr>
    </w:p>
    <w:p w14:paraId="16239928" w14:textId="77777777" w:rsidR="00500AE2" w:rsidRPr="007E3D0B" w:rsidRDefault="00016D14" w:rsidP="008B69D1">
      <w:pPr>
        <w:pStyle w:val="PargrafodaLista"/>
        <w:numPr>
          <w:ilvl w:val="0"/>
          <w:numId w:val="22"/>
        </w:numPr>
        <w:rPr>
          <w:rFonts w:asciiTheme="minorHAnsi" w:hAnsiTheme="minorHAnsi" w:cstheme="minorHAnsi"/>
          <w:color w:val="000000" w:themeColor="text1"/>
        </w:rPr>
      </w:pPr>
      <w:r w:rsidRPr="007E3D0B">
        <w:rPr>
          <w:rFonts w:asciiTheme="minorHAnsi" w:hAnsiTheme="minorHAnsi" w:cstheme="minorHAnsi"/>
          <w:bCs/>
          <w:color w:val="000000" w:themeColor="text1"/>
        </w:rPr>
        <w:t>avaliação quanto ao volume de recursos sob gestão e administração, à qualificação do corpo técnico e à segregação de atividades</w:t>
      </w:r>
    </w:p>
    <w:p w14:paraId="6EB762BA" w14:textId="77777777" w:rsidR="00994B23" w:rsidRPr="007E3D0B" w:rsidRDefault="00994B23"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O credenciamento abrangerá também corretoras e distribuidoras de títulos e valores mobiliários (CCTVM e/ou DTVM) que mantenham relação com operações diretas com títulos de emissão do Tesouro Nacional registrados no Sistema Especial de Liquidação e Custódia – SELIC, bem como títulos privados emitidos por instituições financeiras.</w:t>
      </w:r>
    </w:p>
    <w:p w14:paraId="0C53798D" w14:textId="77777777" w:rsidR="00207EFA" w:rsidRPr="007E3D0B" w:rsidRDefault="004541A4" w:rsidP="00207EFA">
      <w:pPr>
        <w:rPr>
          <w:rFonts w:asciiTheme="minorHAnsi" w:hAnsiTheme="minorHAnsi" w:cstheme="minorHAnsi"/>
          <w:bCs/>
          <w:color w:val="000000" w:themeColor="text1"/>
        </w:rPr>
      </w:pPr>
      <w:r w:rsidRPr="007E3D0B">
        <w:rPr>
          <w:rFonts w:asciiTheme="minorHAnsi" w:hAnsiTheme="minorHAnsi" w:cstheme="minorHAnsi"/>
          <w:bCs/>
          <w:color w:val="000000" w:themeColor="text1"/>
        </w:rPr>
        <w:t>A conclusão da análise das informações e da verificação dos requisitos deverá ser formalizada em Termo de Credenciamento, observando os seguintes parâmetros</w:t>
      </w:r>
      <w:r w:rsidR="00500AE2" w:rsidRPr="007E3D0B">
        <w:rPr>
          <w:rFonts w:asciiTheme="minorHAnsi" w:hAnsiTheme="minorHAnsi" w:cstheme="minorHAnsi"/>
          <w:bCs/>
          <w:color w:val="000000" w:themeColor="text1"/>
        </w:rPr>
        <w:t>:</w:t>
      </w:r>
    </w:p>
    <w:p w14:paraId="796AD2FC" w14:textId="77777777" w:rsidR="00207EFA" w:rsidRPr="007E3D0B" w:rsidRDefault="00207EFA" w:rsidP="008B69D1">
      <w:pPr>
        <w:pStyle w:val="PargrafodaLista"/>
        <w:numPr>
          <w:ilvl w:val="0"/>
          <w:numId w:val="23"/>
        </w:numPr>
        <w:rPr>
          <w:rFonts w:asciiTheme="minorHAnsi" w:hAnsiTheme="minorHAnsi" w:cstheme="minorHAnsi"/>
          <w:bCs/>
          <w:color w:val="000000" w:themeColor="text1"/>
        </w:rPr>
      </w:pPr>
      <w:r w:rsidRPr="007E3D0B">
        <w:rPr>
          <w:rFonts w:asciiTheme="minorHAnsi" w:hAnsiTheme="minorHAnsi" w:cstheme="minorHAnsi"/>
          <w:bCs/>
          <w:color w:val="000000" w:themeColor="text1"/>
        </w:rPr>
        <w:t>embasamento em formulários de diligência previstos em códigos de autorregulação relativos à administração de recursos de terceiros, disponibilizados por entidade representativa do mercado financeiro com convênio com a CVM;</w:t>
      </w:r>
    </w:p>
    <w:p w14:paraId="122D19AA" w14:textId="77777777" w:rsidR="00207EFA" w:rsidRPr="007E3D0B" w:rsidRDefault="00207EFA" w:rsidP="00207EFA">
      <w:pPr>
        <w:pStyle w:val="PargrafodaLista"/>
        <w:rPr>
          <w:rFonts w:asciiTheme="minorHAnsi" w:hAnsiTheme="minorHAnsi" w:cstheme="minorHAnsi"/>
          <w:bCs/>
          <w:color w:val="000000" w:themeColor="text1"/>
        </w:rPr>
      </w:pPr>
    </w:p>
    <w:p w14:paraId="673E5C02" w14:textId="77777777" w:rsidR="004B68C1" w:rsidRPr="007E3D0B" w:rsidRDefault="00207EFA" w:rsidP="008B69D1">
      <w:pPr>
        <w:pStyle w:val="PargrafodaLista"/>
        <w:numPr>
          <w:ilvl w:val="0"/>
          <w:numId w:val="23"/>
        </w:numPr>
        <w:rPr>
          <w:rFonts w:asciiTheme="minorHAnsi" w:hAnsiTheme="minorHAnsi" w:cstheme="minorHAnsi"/>
          <w:bCs/>
          <w:color w:val="000000" w:themeColor="text1"/>
        </w:rPr>
      </w:pPr>
      <w:r w:rsidRPr="007E3D0B">
        <w:rPr>
          <w:rFonts w:asciiTheme="minorHAnsi" w:hAnsiTheme="minorHAnsi" w:cstheme="minorHAnsi"/>
          <w:bCs/>
          <w:color w:val="000000" w:themeColor="text1"/>
        </w:rPr>
        <w:t>atualização obrigatória a cada 24 (vinte e quatro) meses;</w:t>
      </w:r>
    </w:p>
    <w:p w14:paraId="5E5C9CFB" w14:textId="77777777" w:rsidR="004B68C1" w:rsidRPr="007E3D0B" w:rsidRDefault="004B68C1" w:rsidP="004B68C1">
      <w:pPr>
        <w:pStyle w:val="PargrafodaLista"/>
        <w:rPr>
          <w:rFonts w:asciiTheme="minorHAnsi" w:hAnsiTheme="minorHAnsi" w:cstheme="minorHAnsi"/>
          <w:bCs/>
          <w:color w:val="000000" w:themeColor="text1"/>
        </w:rPr>
      </w:pPr>
    </w:p>
    <w:p w14:paraId="21FF2460" w14:textId="77777777" w:rsidR="00EC281F" w:rsidRPr="007E3D0B" w:rsidRDefault="00207EFA" w:rsidP="008B69D1">
      <w:pPr>
        <w:pStyle w:val="PargrafodaLista"/>
        <w:numPr>
          <w:ilvl w:val="0"/>
          <w:numId w:val="23"/>
        </w:num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inclusão, no caso de fundos de investimento, do administrador, do gestor e do distribuidor; e</w:t>
      </w:r>
    </w:p>
    <w:p w14:paraId="54232C86" w14:textId="77777777" w:rsidR="00EC281F" w:rsidRPr="007E3D0B" w:rsidRDefault="00EC281F" w:rsidP="00EC281F">
      <w:pPr>
        <w:pStyle w:val="PargrafodaLista"/>
        <w:rPr>
          <w:rFonts w:asciiTheme="minorHAnsi" w:hAnsiTheme="minorHAnsi" w:cstheme="minorHAnsi"/>
          <w:bCs/>
          <w:color w:val="000000" w:themeColor="text1"/>
        </w:rPr>
      </w:pPr>
    </w:p>
    <w:p w14:paraId="646FEC9D" w14:textId="77777777" w:rsidR="004F12DD" w:rsidRPr="007E3D0B" w:rsidRDefault="00207EFA" w:rsidP="008B69D1">
      <w:pPr>
        <w:pStyle w:val="PargrafodaLista"/>
        <w:numPr>
          <w:ilvl w:val="0"/>
          <w:numId w:val="23"/>
        </w:numPr>
        <w:rPr>
          <w:rFonts w:asciiTheme="minorHAnsi" w:hAnsiTheme="minorHAnsi" w:cstheme="minorHAnsi"/>
          <w:bCs/>
          <w:color w:val="000000" w:themeColor="text1"/>
        </w:rPr>
      </w:pPr>
      <w:r w:rsidRPr="007E3D0B">
        <w:rPr>
          <w:rFonts w:asciiTheme="minorHAnsi" w:hAnsiTheme="minorHAnsi" w:cstheme="minorHAnsi"/>
          <w:bCs/>
          <w:color w:val="000000" w:themeColor="text1"/>
        </w:rPr>
        <w:t>instrução com os documentos exigidos no modelo disponibilizado na página da Previdência Social.</w:t>
      </w:r>
    </w:p>
    <w:p w14:paraId="34D53E5E" w14:textId="77777777" w:rsidR="00377B54" w:rsidRPr="007E3D0B" w:rsidRDefault="00500AE2" w:rsidP="004F12DD">
      <w:pPr>
        <w:rPr>
          <w:rFonts w:asciiTheme="minorHAnsi" w:hAnsiTheme="minorHAnsi" w:cstheme="minorHAnsi"/>
          <w:bCs/>
          <w:color w:val="000000" w:themeColor="text1"/>
        </w:rPr>
      </w:pPr>
      <w:r w:rsidRPr="007E3D0B">
        <w:rPr>
          <w:rFonts w:asciiTheme="minorHAnsi" w:hAnsiTheme="minorHAnsi" w:cstheme="minorHAnsi"/>
          <w:bCs/>
          <w:color w:val="000000" w:themeColor="text1"/>
        </w:rPr>
        <w:t>Em aspectos mais abrangentes, no processo de seleção dos gestores e administradores, deverão ser considerados os aspectos qualitativos e quantitativos, tendo como parâmetro de análise o mínimo:</w:t>
      </w:r>
    </w:p>
    <w:p w14:paraId="73C6753C" w14:textId="77777777" w:rsidR="00377B54" w:rsidRPr="007E3D0B" w:rsidRDefault="00500AE2" w:rsidP="008B69D1">
      <w:pPr>
        <w:pStyle w:val="PargrafodaLista"/>
        <w:numPr>
          <w:ilvl w:val="0"/>
          <w:numId w:val="6"/>
        </w:numPr>
        <w:rPr>
          <w:rFonts w:asciiTheme="minorHAnsi" w:hAnsiTheme="minorHAnsi" w:cstheme="minorHAnsi"/>
          <w:bCs/>
          <w:color w:val="000000" w:themeColor="text1"/>
        </w:rPr>
      </w:pPr>
      <w:r w:rsidRPr="007E3D0B">
        <w:rPr>
          <w:rFonts w:asciiTheme="minorHAnsi" w:hAnsiTheme="minorHAnsi" w:cstheme="minorHAnsi"/>
          <w:b/>
          <w:bCs/>
          <w:color w:val="000000" w:themeColor="text1"/>
        </w:rPr>
        <w:t>Tradição e Credibilidade da Instituição</w:t>
      </w:r>
      <w:r w:rsidRPr="007E3D0B">
        <w:rPr>
          <w:rFonts w:asciiTheme="minorHAnsi" w:hAnsiTheme="minorHAnsi" w:cstheme="minorHAnsi"/>
          <w:bCs/>
          <w:color w:val="000000" w:themeColor="text1"/>
        </w:rPr>
        <w:t xml:space="preserve"> – envolvendo volume de recursos administrados e geridos, no Brasil e no exterior, capacitação profissional dos agentes envolvidos na administração e gestão de investimentos do fundo, que incluem formação acadêmica continuada, certificações, reconhecimento público etc., tempo de atuação e maturidade desses agentes na atividade, regularidade da manutenção da equipe, com base na rotatividade dos profissionais e na tempestividade na reposição, além de outras informações relacionadas com a administração e gestão de investimentos que permitam identificar a cultura fiduciária da instituição e seu compromisso com princípios de responsabilidade nos investimentos e de governança</w:t>
      </w:r>
      <w:r w:rsidR="00377B54" w:rsidRPr="007E3D0B">
        <w:rPr>
          <w:rFonts w:asciiTheme="minorHAnsi" w:hAnsiTheme="minorHAnsi" w:cstheme="minorHAnsi"/>
          <w:bCs/>
          <w:color w:val="000000" w:themeColor="text1"/>
        </w:rPr>
        <w:t>;</w:t>
      </w:r>
    </w:p>
    <w:p w14:paraId="1F8C7DE1" w14:textId="77777777" w:rsidR="00377B54" w:rsidRPr="007E3D0B" w:rsidRDefault="00377B54" w:rsidP="00377B54">
      <w:pPr>
        <w:pStyle w:val="PargrafodaLista"/>
        <w:rPr>
          <w:rFonts w:asciiTheme="minorHAnsi" w:hAnsiTheme="minorHAnsi" w:cstheme="minorHAnsi"/>
          <w:bCs/>
          <w:color w:val="000000" w:themeColor="text1"/>
        </w:rPr>
      </w:pPr>
    </w:p>
    <w:p w14:paraId="6BC5D69C" w14:textId="77777777" w:rsidR="00377B54" w:rsidRPr="007E3D0B" w:rsidRDefault="00500AE2" w:rsidP="008B69D1">
      <w:pPr>
        <w:pStyle w:val="PargrafodaLista"/>
        <w:numPr>
          <w:ilvl w:val="0"/>
          <w:numId w:val="6"/>
        </w:numPr>
        <w:rPr>
          <w:rFonts w:asciiTheme="minorHAnsi" w:hAnsiTheme="minorHAnsi" w:cstheme="minorHAnsi"/>
          <w:bCs/>
          <w:color w:val="000000" w:themeColor="text1"/>
        </w:rPr>
      </w:pPr>
      <w:r w:rsidRPr="007E3D0B">
        <w:rPr>
          <w:rFonts w:asciiTheme="minorHAnsi" w:hAnsiTheme="minorHAnsi" w:cstheme="minorHAnsi"/>
          <w:b/>
          <w:bCs/>
          <w:color w:val="000000" w:themeColor="text1"/>
        </w:rPr>
        <w:t>Gestão do Risco</w:t>
      </w:r>
      <w:r w:rsidRPr="007E3D0B">
        <w:rPr>
          <w:rFonts w:asciiTheme="minorHAnsi" w:hAnsiTheme="minorHAnsi" w:cstheme="minorHAnsi"/>
          <w:bCs/>
          <w:color w:val="000000" w:themeColor="text1"/>
        </w:rPr>
        <w:t xml:space="preserve"> – envolvendo qualidade e consistência dos processos de administração e gestão, em especial aos riscos de crédito – quando aplicável – liquidez, mercado, legal e operacional, efetividade dos controles internos, envolvendo, ainda, o uso de ferramentas, softwares e consultorias especializadas, regularidade na prestação de informações, atuação da área de “</w:t>
      </w:r>
      <w:r w:rsidRPr="007E3D0B">
        <w:rPr>
          <w:rFonts w:asciiTheme="minorHAnsi" w:hAnsiTheme="minorHAnsi" w:cstheme="minorHAnsi"/>
          <w:bCs/>
          <w:i/>
          <w:color w:val="000000" w:themeColor="text1"/>
        </w:rPr>
        <w:t>compliance</w:t>
      </w:r>
      <w:r w:rsidRPr="007E3D0B">
        <w:rPr>
          <w:rFonts w:asciiTheme="minorHAnsi" w:hAnsiTheme="minorHAnsi" w:cstheme="minorHAnsi"/>
          <w:bCs/>
          <w:color w:val="000000" w:themeColor="text1"/>
        </w:rPr>
        <w:t>”, capacitação profissional dos agentes envolvidos na administração e gestão de risco do fundo, que incluem formação acadêmica continuada, certificações, reconhecimento público etc., tempo de atuação e maturidade desses agentes na atividade, regularidade da manutenção da equipe de risco, com base na rotatividade dos profissionais e na tempestividade na reposição, além de outras informações relacionadas com a administração e gestão do risco;</w:t>
      </w:r>
    </w:p>
    <w:p w14:paraId="1FC70F84" w14:textId="77777777" w:rsidR="00377B54" w:rsidRPr="007E3D0B" w:rsidRDefault="00377B54" w:rsidP="00377B54">
      <w:pPr>
        <w:pStyle w:val="PargrafodaLista"/>
        <w:rPr>
          <w:rFonts w:asciiTheme="minorHAnsi" w:hAnsiTheme="minorHAnsi" w:cstheme="minorHAnsi"/>
          <w:b/>
          <w:bCs/>
          <w:color w:val="000000" w:themeColor="text1"/>
        </w:rPr>
      </w:pPr>
    </w:p>
    <w:p w14:paraId="32AB03B6" w14:textId="77777777" w:rsidR="00500AE2" w:rsidRPr="007E3D0B" w:rsidRDefault="00500AE2" w:rsidP="008B69D1">
      <w:pPr>
        <w:pStyle w:val="PargrafodaLista"/>
        <w:numPr>
          <w:ilvl w:val="0"/>
          <w:numId w:val="6"/>
        </w:numPr>
        <w:rPr>
          <w:rFonts w:asciiTheme="minorHAnsi" w:hAnsiTheme="minorHAnsi" w:cstheme="minorHAnsi"/>
          <w:bCs/>
          <w:color w:val="000000" w:themeColor="text1"/>
        </w:rPr>
      </w:pPr>
      <w:r w:rsidRPr="007E3D0B">
        <w:rPr>
          <w:rFonts w:asciiTheme="minorHAnsi" w:hAnsiTheme="minorHAnsi" w:cstheme="minorHAnsi"/>
          <w:b/>
          <w:bCs/>
          <w:color w:val="000000" w:themeColor="text1"/>
        </w:rPr>
        <w:t>Avaliação de aderência dos Fundos aos indicadores de desempenho (Benchmark) e riscos</w:t>
      </w:r>
      <w:r w:rsidRPr="007E3D0B">
        <w:rPr>
          <w:rFonts w:asciiTheme="minorHAnsi" w:hAnsiTheme="minorHAnsi" w:cstheme="minorHAnsi"/>
          <w:bCs/>
          <w:color w:val="000000" w:themeColor="text1"/>
        </w:rPr>
        <w:t xml:space="preserve"> – envolvendo a correlação da rentabilidade com seus objetivos e a consistência na entrega de resultados no período mínimo de dois anos anteriores ao credenciamento.</w:t>
      </w:r>
    </w:p>
    <w:p w14:paraId="65BA1EE7" w14:textId="77777777" w:rsidR="004D4FBF" w:rsidRPr="007E3D0B" w:rsidRDefault="004D4FBF" w:rsidP="004D4FBF">
      <w:pPr>
        <w:rPr>
          <w:rFonts w:asciiTheme="minorHAnsi" w:hAnsiTheme="minorHAnsi" w:cstheme="minorHAnsi"/>
          <w:color w:val="000000" w:themeColor="text1"/>
        </w:rPr>
      </w:pPr>
      <w:r w:rsidRPr="007E3D0B">
        <w:rPr>
          <w:rFonts w:asciiTheme="minorHAnsi" w:hAnsiTheme="minorHAnsi" w:cstheme="minorHAnsi"/>
          <w:color w:val="000000" w:themeColor="text1"/>
        </w:rPr>
        <w:t>Os fundos de investimento possuem gestão discricionária, cabendo ao gestor a escolha dos ativos, desde que observados o regulamento do fundo e a regulamentação aplicável aos RPPS.</w:t>
      </w:r>
    </w:p>
    <w:p w14:paraId="30407031" w14:textId="77777777" w:rsidR="004D4FBF" w:rsidRPr="007E3D0B" w:rsidRDefault="004D4FBF" w:rsidP="004D4FBF">
      <w:pPr>
        <w:rPr>
          <w:rFonts w:asciiTheme="minorHAnsi" w:hAnsiTheme="minorHAnsi" w:cstheme="minorHAnsi"/>
          <w:color w:val="000000" w:themeColor="text1"/>
        </w:rPr>
      </w:pPr>
      <w:r w:rsidRPr="007E3D0B">
        <w:rPr>
          <w:rFonts w:asciiTheme="minorHAnsi" w:hAnsiTheme="minorHAnsi" w:cstheme="minorHAnsi"/>
          <w:color w:val="000000" w:themeColor="text1"/>
        </w:rPr>
        <w:t>No que se refere ao distribuidor (instituições do sistema de distribuição ou agentes autônomos de investimento), a análise recairá sobre o contrato de distribuição e sua regularidade perante a CVM.</w:t>
      </w:r>
    </w:p>
    <w:p w14:paraId="331CCD56" w14:textId="77777777" w:rsidR="00730AD0" w:rsidRPr="007E3D0B" w:rsidRDefault="004D4FBF" w:rsidP="00730AD0">
      <w:pPr>
        <w:rPr>
          <w:rFonts w:asciiTheme="minorHAnsi" w:hAnsiTheme="minorHAnsi" w:cstheme="minorHAnsi"/>
          <w:bCs/>
          <w:color w:val="000000" w:themeColor="text1"/>
        </w:rPr>
      </w:pPr>
      <w:r w:rsidRPr="007E3D0B">
        <w:rPr>
          <w:rFonts w:asciiTheme="minorHAnsi" w:hAnsiTheme="minorHAnsi" w:cstheme="minorHAnsi"/>
          <w:color w:val="000000" w:themeColor="text1"/>
        </w:rPr>
        <w:t xml:space="preserve">Complementarmente, apenas serão considerados aptos a receber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os fundos de investimento que tenham, como prestadores de serviços de gestão e administração, instituições financeiras que atendam cumulativamente às seguintes condições</w:t>
      </w:r>
      <w:r w:rsidR="005638A3" w:rsidRPr="007E3D0B">
        <w:rPr>
          <w:rFonts w:asciiTheme="minorHAnsi" w:hAnsiTheme="minorHAnsi" w:cstheme="minorHAnsi"/>
          <w:bCs/>
          <w:color w:val="000000" w:themeColor="text1"/>
        </w:rPr>
        <w:t>:</w:t>
      </w:r>
    </w:p>
    <w:p w14:paraId="72FE254B" w14:textId="77777777" w:rsidR="00730AD0" w:rsidRPr="007E3D0B" w:rsidRDefault="005638A3" w:rsidP="008B69D1">
      <w:pPr>
        <w:pStyle w:val="PargrafodaLista"/>
        <w:numPr>
          <w:ilvl w:val="0"/>
          <w:numId w:val="32"/>
        </w:numPr>
        <w:rPr>
          <w:rFonts w:asciiTheme="minorHAnsi" w:hAnsiTheme="minorHAnsi" w:cstheme="minorHAnsi"/>
          <w:bCs/>
          <w:color w:val="000000" w:themeColor="text1"/>
        </w:rPr>
      </w:pPr>
      <w:r w:rsidRPr="007E3D0B">
        <w:rPr>
          <w:rFonts w:asciiTheme="minorHAnsi" w:hAnsiTheme="minorHAnsi" w:cstheme="minorHAnsi"/>
          <w:bCs/>
          <w:color w:val="000000" w:themeColor="text1"/>
        </w:rPr>
        <w:t>O administrador ou gestor dos recursos seja instituição autorizada a funcionar pelo Banco Central do Brasil, obrigada a instituir comitê de auditoria e comitê de riscos nos termos da regulamentação do Conselho Monetário Nacional;</w:t>
      </w:r>
    </w:p>
    <w:p w14:paraId="1AE9B246" w14:textId="77777777" w:rsidR="00730AD0" w:rsidRPr="007E3D0B" w:rsidRDefault="00730AD0" w:rsidP="00730AD0">
      <w:pPr>
        <w:pStyle w:val="PargrafodaLista"/>
        <w:rPr>
          <w:rFonts w:asciiTheme="minorHAnsi" w:hAnsiTheme="minorHAnsi" w:cstheme="minorHAnsi"/>
          <w:bCs/>
          <w:color w:val="000000" w:themeColor="text1"/>
        </w:rPr>
      </w:pPr>
    </w:p>
    <w:p w14:paraId="1268DD02" w14:textId="77777777" w:rsidR="00730AD0" w:rsidRPr="007E3D0B" w:rsidRDefault="005638A3" w:rsidP="008B69D1">
      <w:pPr>
        <w:pStyle w:val="PargrafodaLista"/>
        <w:numPr>
          <w:ilvl w:val="0"/>
          <w:numId w:val="32"/>
        </w:num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O administrador do fundo de investimento detenha, no máximo, 50% dos recursos sob sua administração oriundos Regimes Próprios de Previdência Social e</w:t>
      </w:r>
    </w:p>
    <w:p w14:paraId="5BF34455" w14:textId="77777777" w:rsidR="00730AD0" w:rsidRPr="007E3D0B" w:rsidRDefault="00730AD0" w:rsidP="00730AD0">
      <w:pPr>
        <w:pStyle w:val="PargrafodaLista"/>
        <w:rPr>
          <w:rFonts w:asciiTheme="minorHAnsi" w:hAnsiTheme="minorHAnsi" w:cstheme="minorHAnsi"/>
          <w:bCs/>
          <w:color w:val="000000" w:themeColor="text1"/>
        </w:rPr>
      </w:pPr>
    </w:p>
    <w:p w14:paraId="1E9149F9" w14:textId="77777777" w:rsidR="005638A3" w:rsidRPr="007E3D0B" w:rsidRDefault="005638A3" w:rsidP="008B69D1">
      <w:pPr>
        <w:pStyle w:val="PargrafodaLista"/>
        <w:numPr>
          <w:ilvl w:val="0"/>
          <w:numId w:val="32"/>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 gestor e o administrador do fundo de investimento tenham sido objeto de prévio credenciamento e que seja considerado pelos responsáveis pela gestão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como de boa qualidade de gestão e ambiente de controle de investimento.</w:t>
      </w:r>
    </w:p>
    <w:p w14:paraId="46CF87CF" w14:textId="77777777" w:rsidR="005638A3" w:rsidRPr="007E3D0B" w:rsidRDefault="005638A3" w:rsidP="005638A3">
      <w:pPr>
        <w:rPr>
          <w:rFonts w:asciiTheme="minorHAnsi" w:hAnsiTheme="minorHAnsi" w:cstheme="minorHAnsi"/>
          <w:color w:val="000000" w:themeColor="text1"/>
        </w:rPr>
      </w:pPr>
      <w:r w:rsidRPr="007E3D0B">
        <w:rPr>
          <w:rFonts w:asciiTheme="minorHAnsi" w:hAnsiTheme="minorHAnsi" w:cstheme="minorHAnsi"/>
          <w:bCs/>
          <w:color w:val="000000" w:themeColor="text1"/>
        </w:rPr>
        <w:t xml:space="preserve">Em atendimento aos requisitos dispostos, deverão ser observados apenas quando da aplicação dos recursos, podendo os fundos de investimentos não enquadrados nos termos acima, permanecer na carteira de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até seu respectivo resgate ou vencimento.</w:t>
      </w:r>
    </w:p>
    <w:p w14:paraId="2299EC70" w14:textId="77777777" w:rsidR="00730AD0" w:rsidRPr="007E3D0B" w:rsidRDefault="00730AD0" w:rsidP="005638A3">
      <w:pPr>
        <w:rPr>
          <w:rFonts w:asciiTheme="minorHAnsi" w:hAnsiTheme="minorHAnsi" w:cstheme="minorHAnsi"/>
          <w:color w:val="000000" w:themeColor="text1"/>
        </w:rPr>
      </w:pPr>
    </w:p>
    <w:p w14:paraId="06104F2C" w14:textId="77777777" w:rsidR="00500AE2" w:rsidRPr="007E3D0B" w:rsidRDefault="00DB7944" w:rsidP="00A468C9">
      <w:pPr>
        <w:pStyle w:val="Ttulo3"/>
        <w:rPr>
          <w:rFonts w:asciiTheme="minorHAnsi" w:hAnsiTheme="minorHAnsi" w:cstheme="minorHAnsi"/>
          <w:color w:val="000000" w:themeColor="text1"/>
          <w:sz w:val="22"/>
          <w:szCs w:val="22"/>
        </w:rPr>
      </w:pPr>
      <w:bookmarkStart w:id="112" w:name="_Toc118105156"/>
      <w:r w:rsidRPr="007E3D0B">
        <w:rPr>
          <w:rFonts w:asciiTheme="minorHAnsi" w:hAnsiTheme="minorHAnsi" w:cstheme="minorHAnsi"/>
          <w:color w:val="000000" w:themeColor="text1"/>
          <w:sz w:val="22"/>
          <w:szCs w:val="22"/>
        </w:rPr>
        <w:t>Processo de Execução</w:t>
      </w:r>
      <w:bookmarkEnd w:id="112"/>
    </w:p>
    <w:p w14:paraId="3AB9ED3A"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credenciamento se dará por meio eletrônico, através do sistema eletrônico utilizado pelo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no âmbito de controle, inclusive no gerenciamento dos documentos e certidões </w:t>
      </w:r>
      <w:r w:rsidR="00C7483F" w:rsidRPr="007E3D0B">
        <w:rPr>
          <w:rFonts w:asciiTheme="minorHAnsi" w:hAnsiTheme="minorHAnsi" w:cstheme="minorHAnsi"/>
          <w:color w:val="000000" w:themeColor="text1"/>
        </w:rPr>
        <w:t xml:space="preserve">negativas </w:t>
      </w:r>
      <w:r w:rsidRPr="007E3D0B">
        <w:rPr>
          <w:rFonts w:asciiTheme="minorHAnsi" w:hAnsiTheme="minorHAnsi" w:cstheme="minorHAnsi"/>
          <w:color w:val="000000" w:themeColor="text1"/>
        </w:rPr>
        <w:t>requisitadas.</w:t>
      </w:r>
    </w:p>
    <w:p w14:paraId="09CEA44A"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Fica definido adicionalmente como medida de segurança e como critério documental para credenciamento, o relatório </w:t>
      </w:r>
      <w:proofErr w:type="spellStart"/>
      <w:r w:rsidRPr="007E3D0B">
        <w:rPr>
          <w:rFonts w:asciiTheme="minorHAnsi" w:hAnsiTheme="minorHAnsi" w:cstheme="minorHAnsi"/>
          <w:i/>
          <w:color w:val="000000" w:themeColor="text1"/>
        </w:rPr>
        <w:t>Due</w:t>
      </w:r>
      <w:proofErr w:type="spellEnd"/>
      <w:r w:rsidRPr="007E3D0B">
        <w:rPr>
          <w:rFonts w:asciiTheme="minorHAnsi" w:hAnsiTheme="minorHAnsi" w:cstheme="minorHAnsi"/>
          <w:i/>
          <w:color w:val="000000" w:themeColor="text1"/>
        </w:rPr>
        <w:t xml:space="preserve"> </w:t>
      </w:r>
      <w:proofErr w:type="spellStart"/>
      <w:r w:rsidRPr="007E3D0B">
        <w:rPr>
          <w:rFonts w:asciiTheme="minorHAnsi" w:hAnsiTheme="minorHAnsi" w:cstheme="minorHAnsi"/>
          <w:i/>
          <w:color w:val="000000" w:themeColor="text1"/>
        </w:rPr>
        <w:t>Diligence</w:t>
      </w:r>
      <w:proofErr w:type="spellEnd"/>
      <w:r w:rsidRPr="007E3D0B">
        <w:rPr>
          <w:rFonts w:asciiTheme="minorHAnsi" w:hAnsiTheme="minorHAnsi" w:cstheme="minorHAnsi"/>
          <w:i/>
          <w:color w:val="000000" w:themeColor="text1"/>
        </w:rPr>
        <w:t xml:space="preserve"> </w:t>
      </w:r>
      <w:r w:rsidRPr="007E3D0B">
        <w:rPr>
          <w:rFonts w:asciiTheme="minorHAnsi" w:hAnsiTheme="minorHAnsi" w:cstheme="minorHAnsi"/>
          <w:color w:val="000000" w:themeColor="text1"/>
        </w:rPr>
        <w:t>da ANBIMA entendidos como “Seção UM, DOIS e TRÊS”.</w:t>
      </w:r>
    </w:p>
    <w:p w14:paraId="578152A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Encontra-se qualificado a participar do processo seletivo qualquer Instituição Financeira administradora e/ou gestora de recursos financeiros dos fundos de investimentos em que figurarem instituições autorizadas a funcionar pelo Banco Central do Brasil obrigadas a instituir comitê de auditoria e comitê de riscos, nos termos das Resoluções CMN n° 3.198/2004 e n° 4.557/2017, respectivamente. As demais </w:t>
      </w:r>
      <w:r w:rsidR="00A64E7B"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nstituições</w:t>
      </w:r>
      <w:r w:rsidR="00A64E7B" w:rsidRPr="007E3D0B">
        <w:rPr>
          <w:rFonts w:asciiTheme="minorHAnsi" w:hAnsiTheme="minorHAnsi" w:cstheme="minorHAnsi"/>
          <w:color w:val="000000" w:themeColor="text1"/>
        </w:rPr>
        <w:t xml:space="preserve"> Financeiras</w:t>
      </w:r>
      <w:r w:rsidRPr="007E3D0B">
        <w:rPr>
          <w:rFonts w:asciiTheme="minorHAnsi" w:hAnsiTheme="minorHAnsi" w:cstheme="minorHAnsi"/>
          <w:color w:val="000000" w:themeColor="text1"/>
        </w:rPr>
        <w:t xml:space="preserve"> que não cumprem tais requisitos, podem ser credenciadas normalmente, entretanto para tal </w:t>
      </w:r>
      <w:r w:rsidR="002041B1"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nstituição </w:t>
      </w:r>
      <w:r w:rsidR="002041B1" w:rsidRPr="007E3D0B">
        <w:rPr>
          <w:rFonts w:asciiTheme="minorHAnsi" w:hAnsiTheme="minorHAnsi" w:cstheme="minorHAnsi"/>
          <w:color w:val="000000" w:themeColor="text1"/>
        </w:rPr>
        <w:t xml:space="preserve">Financeira </w:t>
      </w:r>
      <w:r w:rsidRPr="007E3D0B">
        <w:rPr>
          <w:rFonts w:asciiTheme="minorHAnsi" w:hAnsiTheme="minorHAnsi" w:cstheme="minorHAnsi"/>
          <w:color w:val="000000" w:themeColor="text1"/>
        </w:rPr>
        <w:t xml:space="preserve">estar apta ao aporte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deve ter ao menos um dos prestadores de serviço devidamente enquadrado.</w:t>
      </w:r>
    </w:p>
    <w:p w14:paraId="174D554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demais parâmetros para o credenciamento foram adotados no processo de implantação das regras, procedimentos e controles internos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que visam garantir o cumprimento de suas obrigações, respeitando </w:t>
      </w:r>
      <w:r w:rsidR="002041B1" w:rsidRPr="007E3D0B">
        <w:rPr>
          <w:rFonts w:asciiTheme="minorHAnsi" w:hAnsiTheme="minorHAnsi" w:cstheme="minorHAnsi"/>
          <w:color w:val="000000" w:themeColor="text1"/>
        </w:rPr>
        <w:t>esta</w:t>
      </w:r>
      <w:r w:rsidRPr="007E3D0B">
        <w:rPr>
          <w:rFonts w:asciiTheme="minorHAnsi" w:hAnsiTheme="minorHAnsi" w:cstheme="minorHAnsi"/>
          <w:color w:val="000000" w:themeColor="text1"/>
        </w:rPr>
        <w:t xml:space="preserve"> Política de Investimentos, observados os segmentos, limites e demais requisitos previstos estabelecidos e os parâmetros estabelecidos nas normas gerais de organização e funcionamento dos Regimes Próprios de Previdência Social</w:t>
      </w:r>
      <w:r w:rsidR="002041B1" w:rsidRPr="007E3D0B">
        <w:rPr>
          <w:rFonts w:asciiTheme="minorHAnsi" w:hAnsiTheme="minorHAnsi" w:cstheme="minorHAnsi"/>
          <w:color w:val="000000" w:themeColor="text1"/>
        </w:rPr>
        <w:t xml:space="preserve"> - RPPS</w:t>
      </w:r>
      <w:r w:rsidRPr="007E3D0B">
        <w:rPr>
          <w:rFonts w:asciiTheme="minorHAnsi" w:hAnsiTheme="minorHAnsi" w:cstheme="minorHAnsi"/>
          <w:color w:val="000000" w:themeColor="text1"/>
        </w:rPr>
        <w:t>, em regulamentação da Secretaria de Previdência.</w:t>
      </w:r>
    </w:p>
    <w:p w14:paraId="0CCD082B" w14:textId="77777777" w:rsidR="00730AD0" w:rsidRPr="007E3D0B" w:rsidRDefault="00730AD0" w:rsidP="00500AE2">
      <w:pPr>
        <w:rPr>
          <w:rFonts w:asciiTheme="minorHAnsi" w:hAnsiTheme="minorHAnsi" w:cstheme="minorHAnsi"/>
          <w:color w:val="000000" w:themeColor="text1"/>
        </w:rPr>
      </w:pPr>
    </w:p>
    <w:p w14:paraId="30BF13C4" w14:textId="77777777" w:rsidR="00500AE2" w:rsidRPr="007E3D0B" w:rsidRDefault="00DB7944" w:rsidP="00A468C9">
      <w:pPr>
        <w:pStyle w:val="Ttulo3"/>
        <w:rPr>
          <w:rFonts w:asciiTheme="minorHAnsi" w:hAnsiTheme="minorHAnsi" w:cstheme="minorHAnsi"/>
          <w:color w:val="000000" w:themeColor="text1"/>
          <w:sz w:val="22"/>
          <w:szCs w:val="22"/>
        </w:rPr>
      </w:pPr>
      <w:bookmarkStart w:id="113" w:name="_Toc118105157"/>
      <w:r w:rsidRPr="007E3D0B">
        <w:rPr>
          <w:rFonts w:asciiTheme="minorHAnsi" w:hAnsiTheme="minorHAnsi" w:cstheme="minorHAnsi"/>
          <w:color w:val="000000" w:themeColor="text1"/>
          <w:sz w:val="22"/>
          <w:szCs w:val="22"/>
        </w:rPr>
        <w:t>Validade</w:t>
      </w:r>
      <w:bookmarkEnd w:id="113"/>
    </w:p>
    <w:p w14:paraId="2D661E3F" w14:textId="77777777" w:rsidR="000E0A76" w:rsidRPr="007E3D0B" w:rsidRDefault="00A83A82" w:rsidP="00DD3EDC">
      <w:pPr>
        <w:rPr>
          <w:rFonts w:asciiTheme="minorHAnsi" w:hAnsiTheme="minorHAnsi" w:cstheme="minorHAnsi"/>
          <w:color w:val="000000" w:themeColor="text1"/>
        </w:rPr>
      </w:pPr>
      <w:bookmarkStart w:id="114" w:name="_Toc435189700"/>
      <w:bookmarkStart w:id="115" w:name="_Toc435202758"/>
      <w:bookmarkStart w:id="116" w:name="_Toc490036563"/>
      <w:r w:rsidRPr="007E3D0B">
        <w:rPr>
          <w:rFonts w:asciiTheme="minorHAnsi" w:hAnsiTheme="minorHAnsi" w:cstheme="minorHAnsi"/>
          <w:color w:val="000000" w:themeColor="text1"/>
        </w:rPr>
        <w:t xml:space="preserve">As análises realizadas nos processos de credenciamento deverão ser atualizadas a cada </w:t>
      </w:r>
      <w:r w:rsidRPr="007E3D0B">
        <w:rPr>
          <w:rFonts w:asciiTheme="minorHAnsi" w:hAnsiTheme="minorHAnsi" w:cstheme="minorHAnsi"/>
          <w:b/>
          <w:bCs/>
          <w:color w:val="000000" w:themeColor="text1"/>
        </w:rPr>
        <w:t>24 (vinte e quatro) meses</w:t>
      </w:r>
      <w:r w:rsidRPr="007E3D0B">
        <w:rPr>
          <w:rFonts w:asciiTheme="minorHAnsi" w:hAnsiTheme="minorHAnsi" w:cstheme="minorHAnsi"/>
          <w:color w:val="000000" w:themeColor="text1"/>
        </w:rPr>
        <w:t>, ou sempre que houver necessidade em razão de alteração significativa nas condições das instituições ou de seus serviços.</w:t>
      </w:r>
    </w:p>
    <w:p w14:paraId="41A31AC6" w14:textId="77777777" w:rsidR="00A83A82" w:rsidRPr="007E3D0B" w:rsidRDefault="00A83A82" w:rsidP="00DD3EDC">
      <w:pPr>
        <w:rPr>
          <w:rFonts w:asciiTheme="minorHAnsi" w:hAnsiTheme="minorHAnsi" w:cstheme="minorHAnsi"/>
          <w:color w:val="000000" w:themeColor="text1"/>
        </w:rPr>
      </w:pPr>
    </w:p>
    <w:p w14:paraId="2946E723" w14:textId="77777777" w:rsidR="00760C11" w:rsidRPr="007E3D0B" w:rsidRDefault="0095720A" w:rsidP="00A468C9">
      <w:pPr>
        <w:pStyle w:val="Ttulo2"/>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lastRenderedPageBreak/>
        <w:t xml:space="preserve">Processo de </w:t>
      </w:r>
      <w:proofErr w:type="spellStart"/>
      <w:r w:rsidRPr="007E3D0B">
        <w:rPr>
          <w:rFonts w:asciiTheme="minorHAnsi" w:hAnsiTheme="minorHAnsi" w:cstheme="minorHAnsi"/>
          <w:color w:val="000000" w:themeColor="text1"/>
          <w:sz w:val="22"/>
          <w:szCs w:val="22"/>
        </w:rPr>
        <w:t>Due</w:t>
      </w:r>
      <w:proofErr w:type="spellEnd"/>
      <w:r w:rsidRPr="007E3D0B">
        <w:rPr>
          <w:rFonts w:asciiTheme="minorHAnsi" w:hAnsiTheme="minorHAnsi" w:cstheme="minorHAnsi"/>
          <w:color w:val="000000" w:themeColor="text1"/>
          <w:sz w:val="22"/>
          <w:szCs w:val="22"/>
        </w:rPr>
        <w:t xml:space="preserve"> </w:t>
      </w:r>
      <w:proofErr w:type="spellStart"/>
      <w:r w:rsidRPr="007E3D0B">
        <w:rPr>
          <w:rFonts w:asciiTheme="minorHAnsi" w:hAnsiTheme="minorHAnsi" w:cstheme="minorHAnsi"/>
          <w:color w:val="000000" w:themeColor="text1"/>
          <w:sz w:val="22"/>
          <w:szCs w:val="22"/>
        </w:rPr>
        <w:t>Diligence</w:t>
      </w:r>
      <w:proofErr w:type="spellEnd"/>
    </w:p>
    <w:p w14:paraId="201DEEF3" w14:textId="77777777" w:rsidR="002F4E2E" w:rsidRPr="007E3D0B" w:rsidRDefault="007A3790" w:rsidP="002F4E2E">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Como as </w:t>
      </w:r>
      <w:r w:rsidR="00C72C2B"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nstituições </w:t>
      </w:r>
      <w:r w:rsidR="00C72C2B" w:rsidRPr="007E3D0B">
        <w:rPr>
          <w:rFonts w:asciiTheme="minorHAnsi" w:hAnsiTheme="minorHAnsi" w:cstheme="minorHAnsi"/>
          <w:color w:val="000000" w:themeColor="text1"/>
        </w:rPr>
        <w:t>F</w:t>
      </w:r>
      <w:r w:rsidRPr="007E3D0B">
        <w:rPr>
          <w:rFonts w:asciiTheme="minorHAnsi" w:hAnsiTheme="minorHAnsi" w:cstheme="minorHAnsi"/>
          <w:color w:val="000000" w:themeColor="text1"/>
        </w:rPr>
        <w:t xml:space="preserve">inanceiras já são objeto de credenciamento prévio, o processo de </w:t>
      </w:r>
      <w:proofErr w:type="spellStart"/>
      <w:r w:rsidRPr="007E3D0B">
        <w:rPr>
          <w:rFonts w:asciiTheme="minorHAnsi" w:hAnsiTheme="minorHAnsi" w:cstheme="minorHAnsi"/>
          <w:i/>
          <w:iCs/>
          <w:color w:val="000000" w:themeColor="text1"/>
        </w:rPr>
        <w:t>due</w:t>
      </w:r>
      <w:proofErr w:type="spellEnd"/>
      <w:r w:rsidRPr="007E3D0B">
        <w:rPr>
          <w:rFonts w:asciiTheme="minorHAnsi" w:hAnsiTheme="minorHAnsi" w:cstheme="minorHAnsi"/>
          <w:i/>
          <w:iCs/>
          <w:color w:val="000000" w:themeColor="text1"/>
        </w:rPr>
        <w:t xml:space="preserve"> </w:t>
      </w:r>
      <w:proofErr w:type="spellStart"/>
      <w:r w:rsidRPr="007E3D0B">
        <w:rPr>
          <w:rFonts w:asciiTheme="minorHAnsi" w:hAnsiTheme="minorHAnsi" w:cstheme="minorHAnsi"/>
          <w:i/>
          <w:iCs/>
          <w:color w:val="000000" w:themeColor="text1"/>
        </w:rPr>
        <w:t>diligence</w:t>
      </w:r>
      <w:proofErr w:type="spellEnd"/>
      <w:r w:rsidRPr="007E3D0B">
        <w:rPr>
          <w:rFonts w:asciiTheme="minorHAnsi" w:hAnsiTheme="minorHAnsi" w:cstheme="minorHAnsi"/>
          <w:color w:val="000000" w:themeColor="text1"/>
        </w:rPr>
        <w:t xml:space="preserve"> aplica-se, de forma específica, à contratação da Consultoria de Valores Mobiliários, garantindo que a empresa selecionada atenda plenamente aos requisitos normativos e mantenha padrões elevados de governança, transparência e solidez técnica</w:t>
      </w:r>
      <w:r w:rsidR="00955D4F" w:rsidRPr="007E3D0B">
        <w:rPr>
          <w:rFonts w:asciiTheme="minorHAnsi" w:hAnsiTheme="minorHAnsi" w:cstheme="minorHAnsi"/>
          <w:color w:val="000000" w:themeColor="text1"/>
        </w:rPr>
        <w:t>.</w:t>
      </w:r>
    </w:p>
    <w:p w14:paraId="3764B3D3" w14:textId="77777777" w:rsidR="00730AD0" w:rsidRPr="007E3D0B" w:rsidRDefault="00730AD0" w:rsidP="002F4E2E">
      <w:pPr>
        <w:rPr>
          <w:rFonts w:asciiTheme="minorHAnsi" w:hAnsiTheme="minorHAnsi" w:cstheme="minorHAnsi"/>
          <w:color w:val="000000" w:themeColor="text1"/>
        </w:rPr>
      </w:pPr>
    </w:p>
    <w:p w14:paraId="2D536D6F" w14:textId="77777777" w:rsidR="000E0A76" w:rsidRPr="007E3D0B" w:rsidRDefault="0095720A" w:rsidP="00A468C9">
      <w:pPr>
        <w:pStyle w:val="Ttulo3"/>
        <w:rPr>
          <w:rFonts w:asciiTheme="minorHAnsi" w:hAnsiTheme="minorHAnsi" w:cstheme="minorHAnsi"/>
          <w:color w:val="000000" w:themeColor="text1"/>
          <w:sz w:val="22"/>
          <w:szCs w:val="22"/>
        </w:rPr>
      </w:pPr>
      <w:r w:rsidRPr="007E3D0B">
        <w:rPr>
          <w:rFonts w:asciiTheme="minorHAnsi" w:hAnsiTheme="minorHAnsi" w:cstheme="minorHAnsi"/>
          <w:color w:val="000000" w:themeColor="text1"/>
          <w:sz w:val="22"/>
          <w:szCs w:val="22"/>
        </w:rPr>
        <w:t xml:space="preserve">Contratação de </w:t>
      </w:r>
      <w:r w:rsidR="000E0A76" w:rsidRPr="007E3D0B">
        <w:rPr>
          <w:rFonts w:asciiTheme="minorHAnsi" w:hAnsiTheme="minorHAnsi" w:cstheme="minorHAnsi"/>
          <w:color w:val="000000" w:themeColor="text1"/>
          <w:sz w:val="22"/>
          <w:szCs w:val="22"/>
        </w:rPr>
        <w:t>Consultoria de Valores Mobiliários</w:t>
      </w:r>
    </w:p>
    <w:p w14:paraId="749A159C" w14:textId="77777777" w:rsidR="000E0A76" w:rsidRPr="007E3D0B" w:rsidRDefault="000E0A76" w:rsidP="000E0A7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tem a prerrogativa da contratação de empresa de Consultoria de Valores Mobiliários, de acordo com os critérios estabelecidos na Resolução CMN nº 4.963/2021, Portaria MTP n° 1.467/2022 com suas alterações e Resolução CVM nº 19/2021, na prestação dos serviços de </w:t>
      </w:r>
      <w:r w:rsidR="005E51A9" w:rsidRPr="007E3D0B">
        <w:rPr>
          <w:rFonts w:asciiTheme="minorHAnsi" w:hAnsiTheme="minorHAnsi" w:cstheme="minorHAnsi"/>
          <w:b/>
          <w:color w:val="000000" w:themeColor="text1"/>
        </w:rPr>
        <w:t>ORIENTAÇÃO, RECOMENDAÇÃO E ACONSELHAMENTO</w:t>
      </w:r>
      <w:r w:rsidRPr="007E3D0B">
        <w:rPr>
          <w:rFonts w:asciiTheme="minorHAnsi" w:hAnsiTheme="minorHAnsi" w:cstheme="minorHAnsi"/>
          <w:color w:val="000000" w:themeColor="text1"/>
        </w:rPr>
        <w:t xml:space="preserve">, sobre investimentos no mercado de valores mobiliários, cuja adoção é de única e exclusiva responsabilidade do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563BFD27" w14:textId="77777777" w:rsidR="00730AD0" w:rsidRPr="007E3D0B" w:rsidRDefault="000E0A76" w:rsidP="00730AD0">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Para a efetiva contratação da empresa de Consultoria de Valores Mobiliários, o </w:t>
      </w:r>
      <w:r w:rsidRPr="007E3D0B">
        <w:rPr>
          <w:rFonts w:asciiTheme="minorHAnsi" w:hAnsiTheme="minorHAnsi" w:cstheme="minorHAnsi"/>
          <w:b/>
          <w:color w:val="000000" w:themeColor="text1"/>
        </w:rPr>
        <w:t xml:space="preserve">INSTITUTO DE PREVIDÊNCIA MUNICIPAL DE SANTO ANTÔNIO DE POSSE - IPREM POSSE </w:t>
      </w:r>
      <w:r w:rsidRPr="007E3D0B">
        <w:rPr>
          <w:rFonts w:asciiTheme="minorHAnsi" w:hAnsiTheme="minorHAnsi" w:cstheme="minorHAnsi"/>
          <w:color w:val="000000" w:themeColor="text1"/>
        </w:rPr>
        <w:t>deverá realizar diligência e avaliação quanto ao perfil dos interessados, considerando no mínimo os critérios definidos abaixo:</w:t>
      </w:r>
    </w:p>
    <w:p w14:paraId="566BA831"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a prestação dos serviços de orientação, recomendação e aconselhamento seja de forma profissional, sobre investimentos no mercado de valores mobiliários;</w:t>
      </w:r>
    </w:p>
    <w:p w14:paraId="7B2056A2" w14:textId="77777777" w:rsidR="00730AD0" w:rsidRPr="007E3D0B" w:rsidRDefault="00730AD0" w:rsidP="00730AD0">
      <w:pPr>
        <w:pStyle w:val="PargrafodaLista"/>
        <w:rPr>
          <w:rFonts w:asciiTheme="minorHAnsi" w:hAnsiTheme="minorHAnsi" w:cstheme="minorHAnsi"/>
          <w:color w:val="000000" w:themeColor="text1"/>
        </w:rPr>
      </w:pPr>
    </w:p>
    <w:p w14:paraId="22A88834"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Que a prestação dos serviços seja independente e individualizada, cuja adoção e implementação das orientações, recomendações e aconselhamentos sejam exclusivas do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w:t>
      </w:r>
    </w:p>
    <w:p w14:paraId="367DF667" w14:textId="77777777" w:rsidR="00730AD0" w:rsidRPr="007E3D0B" w:rsidRDefault="00730AD0" w:rsidP="00730AD0">
      <w:pPr>
        <w:pStyle w:val="PargrafodaLista"/>
        <w:rPr>
          <w:rFonts w:asciiTheme="minorHAnsi" w:hAnsiTheme="minorHAnsi" w:cstheme="minorHAnsi"/>
          <w:color w:val="000000" w:themeColor="text1"/>
        </w:rPr>
      </w:pPr>
    </w:p>
    <w:p w14:paraId="19629A26"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a prestação de serviços de orientação, recomendação e aconselhamento abranjam no mínimo os temas sobre: (i) classes de ativos e valores mobiliários, (</w:t>
      </w:r>
      <w:proofErr w:type="spellStart"/>
      <w:r w:rsidRPr="007E3D0B">
        <w:rPr>
          <w:rFonts w:asciiTheme="minorHAnsi" w:hAnsiTheme="minorHAnsi" w:cstheme="minorHAnsi"/>
          <w:color w:val="000000" w:themeColor="text1"/>
        </w:rPr>
        <w:t>ii</w:t>
      </w:r>
      <w:proofErr w:type="spellEnd"/>
      <w:r w:rsidRPr="007E3D0B">
        <w:rPr>
          <w:rFonts w:asciiTheme="minorHAnsi" w:hAnsiTheme="minorHAnsi" w:cstheme="minorHAnsi"/>
          <w:color w:val="000000" w:themeColor="text1"/>
        </w:rPr>
        <w:t>) títulos e valores mobiliários específicos, (</w:t>
      </w:r>
      <w:proofErr w:type="spellStart"/>
      <w:r w:rsidRPr="007E3D0B">
        <w:rPr>
          <w:rFonts w:asciiTheme="minorHAnsi" w:hAnsiTheme="minorHAnsi" w:cstheme="minorHAnsi"/>
          <w:color w:val="000000" w:themeColor="text1"/>
        </w:rPr>
        <w:t>iii</w:t>
      </w:r>
      <w:proofErr w:type="spellEnd"/>
      <w:r w:rsidRPr="007E3D0B">
        <w:rPr>
          <w:rFonts w:asciiTheme="minorHAnsi" w:hAnsiTheme="minorHAnsi" w:cstheme="minorHAnsi"/>
          <w:color w:val="000000" w:themeColor="text1"/>
        </w:rPr>
        <w:t>) Instituições Financeiras no âmbito do mercado de valores mobiliários e (</w:t>
      </w:r>
      <w:proofErr w:type="spellStart"/>
      <w:r w:rsidRPr="007E3D0B">
        <w:rPr>
          <w:rFonts w:asciiTheme="minorHAnsi" w:hAnsiTheme="minorHAnsi" w:cstheme="minorHAnsi"/>
          <w:color w:val="000000" w:themeColor="text1"/>
        </w:rPr>
        <w:t>iv</w:t>
      </w:r>
      <w:proofErr w:type="spellEnd"/>
      <w:r w:rsidRPr="007E3D0B">
        <w:rPr>
          <w:rFonts w:asciiTheme="minorHAnsi" w:hAnsiTheme="minorHAnsi" w:cstheme="minorHAnsi"/>
          <w:color w:val="000000" w:themeColor="text1"/>
        </w:rPr>
        <w:t>) investimentos no mercado de valores mobiliários em todos os aspectos;</w:t>
      </w:r>
    </w:p>
    <w:p w14:paraId="76C05747" w14:textId="77777777" w:rsidR="00730AD0" w:rsidRPr="007E3D0B" w:rsidRDefault="00730AD0" w:rsidP="00730AD0">
      <w:pPr>
        <w:pStyle w:val="PargrafodaLista"/>
        <w:rPr>
          <w:rFonts w:asciiTheme="minorHAnsi" w:hAnsiTheme="minorHAnsi" w:cstheme="minorHAnsi"/>
          <w:color w:val="000000" w:themeColor="text1"/>
        </w:rPr>
      </w:pPr>
    </w:p>
    <w:p w14:paraId="4BE136D4"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As informações disponibilizadas pelo consultor de valores mobiliários sejam verdadeiras, completas, consistentes e não induzir o investidor a erro, escritas em linguagem simples, clara, objetiva e concisa;</w:t>
      </w:r>
    </w:p>
    <w:p w14:paraId="1A013C8F" w14:textId="77777777" w:rsidR="00730AD0" w:rsidRPr="007E3D0B" w:rsidRDefault="00730AD0" w:rsidP="00730AD0">
      <w:pPr>
        <w:pStyle w:val="PargrafodaLista"/>
        <w:rPr>
          <w:rFonts w:asciiTheme="minorHAnsi" w:hAnsiTheme="minorHAnsi" w:cstheme="minorHAnsi"/>
          <w:color w:val="000000" w:themeColor="text1"/>
        </w:rPr>
      </w:pPr>
    </w:p>
    <w:p w14:paraId="3C7CEFC0"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apresente em contrato social um Consultor de Valores Mobiliários como responsável pelas atividades da Consultoria de Valores Mobiliários;</w:t>
      </w:r>
    </w:p>
    <w:p w14:paraId="20065C43" w14:textId="77777777" w:rsidR="00730AD0" w:rsidRPr="007E3D0B" w:rsidRDefault="00730AD0" w:rsidP="00730AD0">
      <w:pPr>
        <w:pStyle w:val="PargrafodaLista"/>
        <w:rPr>
          <w:rFonts w:asciiTheme="minorHAnsi" w:hAnsiTheme="minorHAnsi" w:cstheme="minorHAnsi"/>
          <w:color w:val="000000" w:themeColor="text1"/>
        </w:rPr>
      </w:pPr>
    </w:p>
    <w:p w14:paraId="2F0E4311"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apresente em contrato social um Compliance Officer como responsável pela implementação e cumprimento de regras, procedimentos e controles internos das normas estabelecidas pela Resolução CVM nº 19/2021;</w:t>
      </w:r>
    </w:p>
    <w:p w14:paraId="512FBD04" w14:textId="77777777" w:rsidR="00730AD0" w:rsidRPr="007E3D0B" w:rsidRDefault="00730AD0" w:rsidP="00730AD0">
      <w:pPr>
        <w:pStyle w:val="PargrafodaLista"/>
        <w:rPr>
          <w:rFonts w:asciiTheme="minorHAnsi" w:hAnsiTheme="minorHAnsi" w:cstheme="minorHAnsi"/>
          <w:color w:val="000000" w:themeColor="text1"/>
        </w:rPr>
      </w:pPr>
    </w:p>
    <w:p w14:paraId="2F731420"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Que mantenha página na rede mundial de computadores na forma de consulta pública, as seguintes informações atualizadas: (i) formulário de referência; (</w:t>
      </w:r>
      <w:proofErr w:type="spellStart"/>
      <w:r w:rsidRPr="007E3D0B">
        <w:rPr>
          <w:rFonts w:asciiTheme="minorHAnsi" w:hAnsiTheme="minorHAnsi" w:cstheme="minorHAnsi"/>
          <w:color w:val="000000" w:themeColor="text1"/>
        </w:rPr>
        <w:t>ii</w:t>
      </w:r>
      <w:proofErr w:type="spellEnd"/>
      <w:r w:rsidRPr="007E3D0B">
        <w:rPr>
          <w:rFonts w:asciiTheme="minorHAnsi" w:hAnsiTheme="minorHAnsi" w:cstheme="minorHAnsi"/>
          <w:color w:val="000000" w:themeColor="text1"/>
        </w:rPr>
        <w:t>) código de ética, de modo a concretizar os deveres do consultor de valores mobiliários; (</w:t>
      </w:r>
      <w:proofErr w:type="spellStart"/>
      <w:r w:rsidRPr="007E3D0B">
        <w:rPr>
          <w:rFonts w:asciiTheme="minorHAnsi" w:hAnsiTheme="minorHAnsi" w:cstheme="minorHAnsi"/>
          <w:color w:val="000000" w:themeColor="text1"/>
        </w:rPr>
        <w:t>iii</w:t>
      </w:r>
      <w:proofErr w:type="spellEnd"/>
      <w:r w:rsidRPr="007E3D0B">
        <w:rPr>
          <w:rFonts w:asciiTheme="minorHAnsi" w:hAnsiTheme="minorHAnsi" w:cstheme="minorHAnsi"/>
          <w:color w:val="000000" w:themeColor="text1"/>
        </w:rPr>
        <w:t>) a adoção de regras, procedimentos e descrição dos controles internos e (</w:t>
      </w:r>
      <w:proofErr w:type="spellStart"/>
      <w:r w:rsidRPr="007E3D0B">
        <w:rPr>
          <w:rFonts w:asciiTheme="minorHAnsi" w:hAnsiTheme="minorHAnsi" w:cstheme="minorHAnsi"/>
          <w:color w:val="000000" w:themeColor="text1"/>
        </w:rPr>
        <w:t>iv</w:t>
      </w:r>
      <w:proofErr w:type="spellEnd"/>
      <w:r w:rsidRPr="007E3D0B">
        <w:rPr>
          <w:rFonts w:asciiTheme="minorHAnsi" w:hAnsiTheme="minorHAnsi" w:cstheme="minorHAnsi"/>
          <w:color w:val="000000" w:themeColor="text1"/>
        </w:rPr>
        <w:t>) a adoção de política de negociação de valores mobiliários por administradores, empregados, colaboradores e pela própria empresa;</w:t>
      </w:r>
    </w:p>
    <w:p w14:paraId="6CD7E903" w14:textId="77777777" w:rsidR="00730AD0" w:rsidRPr="007E3D0B" w:rsidRDefault="00730AD0" w:rsidP="00730AD0">
      <w:pPr>
        <w:pStyle w:val="PargrafodaLista"/>
        <w:rPr>
          <w:rFonts w:asciiTheme="minorHAnsi" w:hAnsiTheme="minorHAnsi" w:cstheme="minorHAnsi"/>
          <w:color w:val="000000" w:themeColor="text1"/>
        </w:rPr>
      </w:pPr>
    </w:p>
    <w:p w14:paraId="32130CAE"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apresentem em seu quadro de colaboradores no mínimo um Economista devidamente registrado no Conselho Regional de Economia – CORECON;</w:t>
      </w:r>
    </w:p>
    <w:p w14:paraId="1FDA3AF7" w14:textId="77777777" w:rsidR="00730AD0" w:rsidRPr="007E3D0B" w:rsidRDefault="00730AD0" w:rsidP="00730AD0">
      <w:pPr>
        <w:pStyle w:val="PargrafodaLista"/>
        <w:rPr>
          <w:rFonts w:asciiTheme="minorHAnsi" w:hAnsiTheme="minorHAnsi" w:cstheme="minorHAnsi"/>
          <w:color w:val="000000" w:themeColor="text1"/>
        </w:rPr>
      </w:pPr>
    </w:p>
    <w:p w14:paraId="1214E1B6" w14:textId="77777777" w:rsidR="00730AD0"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os profissionais e consultores que atuam diretamente nas atividades de orientação, recomendação e aconselhamento comprovem experiência profissional nas atividades diretamente relacionadas à consultoria de valores mobiliários, gestão de recursos de terceiros ou análise de valores mobiliários;</w:t>
      </w:r>
    </w:p>
    <w:p w14:paraId="4623BDA3" w14:textId="77777777" w:rsidR="00730AD0" w:rsidRPr="007E3D0B" w:rsidRDefault="00730AD0" w:rsidP="00730AD0">
      <w:pPr>
        <w:pStyle w:val="PargrafodaLista"/>
        <w:rPr>
          <w:rFonts w:asciiTheme="minorHAnsi" w:hAnsiTheme="minorHAnsi" w:cstheme="minorHAnsi"/>
          <w:color w:val="000000" w:themeColor="text1"/>
        </w:rPr>
      </w:pPr>
    </w:p>
    <w:p w14:paraId="642EEABB" w14:textId="77777777" w:rsidR="000E0A76" w:rsidRPr="007E3D0B" w:rsidRDefault="000E0A76" w:rsidP="008B69D1">
      <w:pPr>
        <w:pStyle w:val="PargrafodaLista"/>
        <w:numPr>
          <w:ilvl w:val="0"/>
          <w:numId w:val="33"/>
        </w:numPr>
        <w:rPr>
          <w:rFonts w:asciiTheme="minorHAnsi" w:hAnsiTheme="minorHAnsi" w:cstheme="minorHAnsi"/>
          <w:color w:val="000000" w:themeColor="text1"/>
        </w:rPr>
      </w:pPr>
      <w:r w:rsidRPr="007E3D0B">
        <w:rPr>
          <w:rFonts w:asciiTheme="minorHAnsi" w:hAnsiTheme="minorHAnsi" w:cstheme="minorHAnsi"/>
          <w:color w:val="000000" w:themeColor="text1"/>
        </w:rPr>
        <w:t>Que os profissionais e consultores que atuam diretamente nas atividades de orientação, recomendação e aconselhamento comprovem possuírem no mínimo as certificações</w:t>
      </w:r>
      <w:r w:rsidR="00AB72C7"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 xml:space="preserve"> CEA (Certificação ANBIMA de Especialistas em Investimento), CGA (Certificação de Gestores ANBIMA)</w:t>
      </w:r>
      <w:r w:rsidR="002D2AD8" w:rsidRPr="007E3D0B">
        <w:rPr>
          <w:rFonts w:asciiTheme="minorHAnsi" w:hAnsiTheme="minorHAnsi" w:cstheme="minorHAnsi"/>
          <w:color w:val="000000" w:themeColor="text1"/>
        </w:rPr>
        <w:t>, CNPI</w:t>
      </w:r>
      <w:r w:rsidR="004861FE" w:rsidRPr="007E3D0B">
        <w:rPr>
          <w:rFonts w:asciiTheme="minorHAnsi" w:hAnsiTheme="minorHAnsi" w:cstheme="minorHAnsi"/>
          <w:color w:val="000000" w:themeColor="text1"/>
        </w:rPr>
        <w:t xml:space="preserve"> (Certificação Nacional do Profissional de Investimento)</w:t>
      </w:r>
      <w:r w:rsidRPr="007E3D0B">
        <w:rPr>
          <w:rFonts w:asciiTheme="minorHAnsi" w:hAnsiTheme="minorHAnsi" w:cstheme="minorHAnsi"/>
          <w:color w:val="000000" w:themeColor="text1"/>
        </w:rPr>
        <w:t xml:space="preserve"> e registro de Consultor de Valores Mobiliários pessoa física (a comprovação das Certificações não são cumulativas por profissional).</w:t>
      </w:r>
    </w:p>
    <w:p w14:paraId="76F003F0" w14:textId="77777777" w:rsidR="00730AD0" w:rsidRPr="007E3D0B" w:rsidRDefault="000E0A76" w:rsidP="00730AD0">
      <w:pPr>
        <w:rPr>
          <w:rFonts w:asciiTheme="minorHAnsi" w:hAnsiTheme="minorHAnsi" w:cstheme="minorHAnsi"/>
          <w:color w:val="000000" w:themeColor="text1"/>
        </w:rPr>
      </w:pPr>
      <w:r w:rsidRPr="007E3D0B">
        <w:rPr>
          <w:rFonts w:asciiTheme="minorHAnsi" w:hAnsiTheme="minorHAnsi" w:cstheme="minorHAnsi"/>
          <w:color w:val="000000" w:themeColor="text1"/>
        </w:rPr>
        <w:t>Não serão considerados aptos os prestadores de serviços que atuem exclusivamente com as atividades:</w:t>
      </w:r>
    </w:p>
    <w:p w14:paraId="70D3FFA0" w14:textId="77777777" w:rsidR="00730AD0" w:rsidRPr="007E3D0B" w:rsidRDefault="000E0A76" w:rsidP="008B69D1">
      <w:pPr>
        <w:pStyle w:val="PargrafodaLista"/>
        <w:numPr>
          <w:ilvl w:val="0"/>
          <w:numId w:val="34"/>
        </w:numPr>
        <w:rPr>
          <w:rFonts w:asciiTheme="minorHAnsi" w:hAnsiTheme="minorHAnsi" w:cstheme="minorHAnsi"/>
          <w:color w:val="000000" w:themeColor="text1"/>
        </w:rPr>
      </w:pPr>
      <w:r w:rsidRPr="007E3D0B">
        <w:rPr>
          <w:rFonts w:asciiTheme="minorHAnsi" w:hAnsiTheme="minorHAnsi" w:cstheme="minorHAnsi"/>
          <w:color w:val="000000" w:themeColor="text1"/>
        </w:rPr>
        <w:t>Como planejadores financeiros, cuja atuação circunscreva-se, dentre outros serviços, ao planejamento sucessório, produtos de previdência e administração de finanças em geral de seus clientes e que não envolvam a orientação, recomendação ou aconselhamento;</w:t>
      </w:r>
    </w:p>
    <w:p w14:paraId="10029DA1" w14:textId="77777777" w:rsidR="00730AD0" w:rsidRPr="007E3D0B" w:rsidRDefault="00730AD0" w:rsidP="00730AD0">
      <w:pPr>
        <w:pStyle w:val="PargrafodaLista"/>
        <w:rPr>
          <w:rFonts w:asciiTheme="minorHAnsi" w:hAnsiTheme="minorHAnsi" w:cstheme="minorHAnsi"/>
          <w:color w:val="000000" w:themeColor="text1"/>
        </w:rPr>
      </w:pPr>
    </w:p>
    <w:p w14:paraId="4F65F0BF" w14:textId="77777777" w:rsidR="00730AD0" w:rsidRPr="007E3D0B" w:rsidRDefault="000E0A76" w:rsidP="008B69D1">
      <w:pPr>
        <w:pStyle w:val="PargrafodaLista"/>
        <w:numPr>
          <w:ilvl w:val="0"/>
          <w:numId w:val="34"/>
        </w:numPr>
        <w:rPr>
          <w:rFonts w:asciiTheme="minorHAnsi" w:hAnsiTheme="minorHAnsi" w:cstheme="minorHAnsi"/>
          <w:color w:val="000000" w:themeColor="text1"/>
        </w:rPr>
      </w:pPr>
      <w:r w:rsidRPr="007E3D0B">
        <w:rPr>
          <w:rFonts w:asciiTheme="minorHAnsi" w:hAnsiTheme="minorHAnsi" w:cstheme="minorHAnsi"/>
          <w:color w:val="000000" w:themeColor="text1"/>
        </w:rPr>
        <w:t>Que promovam a elaboração de relatórios gerenciais ou de controle que objetivem, dentre outros, retratar a rentabilidade, composição e enquadramento de uma carteira de investimento à luz de políticas de investimento, regulamentos ou da regulamentação específica incidente sobre determinado tipo de cliente;</w:t>
      </w:r>
    </w:p>
    <w:p w14:paraId="14D19F43" w14:textId="77777777" w:rsidR="00730AD0" w:rsidRPr="007E3D0B" w:rsidRDefault="00730AD0" w:rsidP="00730AD0">
      <w:pPr>
        <w:pStyle w:val="PargrafodaLista"/>
        <w:rPr>
          <w:rFonts w:asciiTheme="minorHAnsi" w:hAnsiTheme="minorHAnsi" w:cstheme="minorHAnsi"/>
          <w:color w:val="000000" w:themeColor="text1"/>
        </w:rPr>
      </w:pPr>
    </w:p>
    <w:p w14:paraId="48D798F1" w14:textId="77777777" w:rsidR="00730AD0" w:rsidRPr="007E3D0B" w:rsidRDefault="000E0A76" w:rsidP="008B69D1">
      <w:pPr>
        <w:pStyle w:val="PargrafodaLista"/>
        <w:numPr>
          <w:ilvl w:val="0"/>
          <w:numId w:val="34"/>
        </w:numPr>
        <w:rPr>
          <w:rFonts w:asciiTheme="minorHAnsi" w:hAnsiTheme="minorHAnsi" w:cstheme="minorHAnsi"/>
          <w:color w:val="000000" w:themeColor="text1"/>
        </w:rPr>
      </w:pPr>
      <w:r w:rsidRPr="007E3D0B">
        <w:rPr>
          <w:rFonts w:asciiTheme="minorHAnsi" w:hAnsiTheme="minorHAnsi" w:cstheme="minorHAnsi"/>
          <w:color w:val="000000" w:themeColor="text1"/>
        </w:rPr>
        <w:t>Como consultores especializados que não atuem nos mercados de valores mobiliários, tais como aqueles previstos nas regulamentações específicas sobre fundos de investimento em direitos creditórios e fundos de investimento imobiliário e</w:t>
      </w:r>
    </w:p>
    <w:p w14:paraId="121339F5" w14:textId="77777777" w:rsidR="00730AD0" w:rsidRPr="007E3D0B" w:rsidRDefault="00730AD0" w:rsidP="00730AD0">
      <w:pPr>
        <w:pStyle w:val="PargrafodaLista"/>
        <w:rPr>
          <w:rFonts w:asciiTheme="minorHAnsi" w:hAnsiTheme="minorHAnsi" w:cstheme="minorHAnsi"/>
          <w:color w:val="000000" w:themeColor="text1"/>
        </w:rPr>
      </w:pPr>
    </w:p>
    <w:p w14:paraId="06A32EC5" w14:textId="77777777" w:rsidR="000E0A76" w:rsidRPr="007E3D0B" w:rsidRDefault="000E0A76" w:rsidP="008B69D1">
      <w:pPr>
        <w:pStyle w:val="PargrafodaLista"/>
        <w:numPr>
          <w:ilvl w:val="0"/>
          <w:numId w:val="34"/>
        </w:numPr>
        <w:rPr>
          <w:rFonts w:asciiTheme="minorHAnsi" w:hAnsiTheme="minorHAnsi" w:cstheme="minorHAnsi"/>
          <w:color w:val="000000" w:themeColor="text1"/>
        </w:rPr>
      </w:pPr>
      <w:r w:rsidRPr="007E3D0B">
        <w:rPr>
          <w:rFonts w:asciiTheme="minorHAnsi" w:hAnsiTheme="minorHAnsi" w:cstheme="minorHAnsi"/>
          <w:color w:val="000000" w:themeColor="text1"/>
        </w:rPr>
        <w:t>Consultores de Valores Mobiliários que atuam diretamente na estruturação, originação, gestão, administração e distribuição de produtos de investimentos que sejam objeto de orientação, recomendação e aconselhamento aos seus clientes.</w:t>
      </w:r>
    </w:p>
    <w:p w14:paraId="3D45E8F9" w14:textId="77777777" w:rsidR="000E0A76" w:rsidRPr="007E3D0B" w:rsidRDefault="000E0A76" w:rsidP="000E0A76">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Será admitido que o Consultor de Valores Mobiliários contratado e as entidades integrantes do sistema de distribuição de valores mobiliários e o </w:t>
      </w:r>
      <w:r w:rsidRPr="007E3D0B">
        <w:rPr>
          <w:rFonts w:asciiTheme="minorHAnsi" w:hAnsiTheme="minorHAnsi" w:cstheme="minorHAnsi"/>
          <w:b/>
          <w:color w:val="000000" w:themeColor="text1"/>
        </w:rPr>
        <w:t xml:space="preserve">INSTITUTO DE PREVIDÊNCIA MUNICIPAL DE SANTO ANTÔNIO DE POSSE - IPREM POSSE </w:t>
      </w:r>
      <w:r w:rsidRPr="007E3D0B">
        <w:rPr>
          <w:rFonts w:asciiTheme="minorHAnsi" w:hAnsiTheme="minorHAnsi" w:cstheme="minorHAnsi"/>
          <w:color w:val="000000" w:themeColor="text1"/>
        </w:rPr>
        <w:t>em comum acordo, estabeleçam canais de comunicação e ferramentas que permitam conferir maior agilidade e segurança à implementação das orientações, recomendações e aconselhamentos na execução de ordens.</w:t>
      </w:r>
    </w:p>
    <w:p w14:paraId="3E077525" w14:textId="77777777" w:rsidR="000E0A76" w:rsidRPr="007E3D0B" w:rsidRDefault="000E0A76" w:rsidP="000E0A76">
      <w:pPr>
        <w:rPr>
          <w:rFonts w:asciiTheme="minorHAnsi" w:hAnsiTheme="minorHAnsi" w:cstheme="minorHAnsi"/>
          <w:b/>
          <w:color w:val="000000" w:themeColor="text1"/>
        </w:rPr>
      </w:pPr>
      <w:r w:rsidRPr="007E3D0B">
        <w:rPr>
          <w:rFonts w:asciiTheme="minorHAnsi" w:hAnsiTheme="minorHAnsi" w:cstheme="minorHAnsi"/>
          <w:color w:val="000000" w:themeColor="text1"/>
        </w:rPr>
        <w:lastRenderedPageBreak/>
        <w:t xml:space="preserve">Não serão aceitas ferramentas fornecidas ou disponibilizadas pelos integrantes do sistema de distribuição de valores mobiliários, mesmo que de forma gratuita, não gerando assim Conflito de Interesse ou a indução a erros por parte do </w:t>
      </w:r>
      <w:r w:rsidRPr="007E3D0B">
        <w:rPr>
          <w:rFonts w:asciiTheme="minorHAnsi" w:hAnsiTheme="minorHAnsi" w:cstheme="minorHAnsi"/>
          <w:b/>
          <w:color w:val="000000" w:themeColor="text1"/>
        </w:rPr>
        <w:t>INSTITUTO DE PREVIDÊNCIA MUNICIPAL DE SANTO ANTÔNIO DE POSSE - IPREM POSSE.</w:t>
      </w:r>
    </w:p>
    <w:p w14:paraId="3F25DA5E" w14:textId="77777777" w:rsidR="005E51A9" w:rsidRPr="007E3D0B" w:rsidRDefault="000E0A76" w:rsidP="00DD3EDC">
      <w:pPr>
        <w:rPr>
          <w:rFonts w:asciiTheme="minorHAnsi" w:hAnsiTheme="minorHAnsi" w:cstheme="minorHAnsi"/>
          <w:color w:val="000000" w:themeColor="text1"/>
        </w:rPr>
      </w:pPr>
      <w:r w:rsidRPr="007E3D0B">
        <w:rPr>
          <w:rFonts w:asciiTheme="minorHAnsi" w:hAnsiTheme="minorHAnsi" w:cstheme="minorHAnsi"/>
          <w:color w:val="000000" w:themeColor="text1"/>
        </w:rPr>
        <w:t>Fica vedada a contratação de empresas de Consultoria de Valores Mobiliários que possuam, em sua composição societária, pessoas físicas e jurídicas que atuem na gestão, administração ou distribuição de recursos. Essa proibição tem como objetivo evitar potenciais conflitos de interesse, assegurando que as recomendações e orientações fornecidas pela consultoria sejam independentes e isentas, em conformidade com as boas práticas de governança.</w:t>
      </w:r>
    </w:p>
    <w:p w14:paraId="2A371E64" w14:textId="77777777" w:rsidR="00F50E3A" w:rsidRDefault="00F50E3A" w:rsidP="00DD3EDC">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processo de </w:t>
      </w:r>
      <w:proofErr w:type="spellStart"/>
      <w:r w:rsidRPr="007E3D0B">
        <w:rPr>
          <w:rFonts w:asciiTheme="minorHAnsi" w:hAnsiTheme="minorHAnsi" w:cstheme="minorHAnsi"/>
          <w:i/>
          <w:iCs/>
          <w:color w:val="000000" w:themeColor="text1"/>
        </w:rPr>
        <w:t>due</w:t>
      </w:r>
      <w:proofErr w:type="spellEnd"/>
      <w:r w:rsidRPr="007E3D0B">
        <w:rPr>
          <w:rFonts w:asciiTheme="minorHAnsi" w:hAnsiTheme="minorHAnsi" w:cstheme="minorHAnsi"/>
          <w:i/>
          <w:iCs/>
          <w:color w:val="000000" w:themeColor="text1"/>
        </w:rPr>
        <w:t xml:space="preserve"> </w:t>
      </w:r>
      <w:proofErr w:type="spellStart"/>
      <w:r w:rsidRPr="007E3D0B">
        <w:rPr>
          <w:rFonts w:asciiTheme="minorHAnsi" w:hAnsiTheme="minorHAnsi" w:cstheme="minorHAnsi"/>
          <w:i/>
          <w:iCs/>
          <w:color w:val="000000" w:themeColor="text1"/>
        </w:rPr>
        <w:t>diligence</w:t>
      </w:r>
      <w:proofErr w:type="spellEnd"/>
      <w:r w:rsidRPr="007E3D0B">
        <w:rPr>
          <w:rFonts w:asciiTheme="minorHAnsi" w:hAnsiTheme="minorHAnsi" w:cstheme="minorHAnsi"/>
          <w:color w:val="000000" w:themeColor="text1"/>
        </w:rPr>
        <w:t xml:space="preserve"> deverá ser documentado em Relatório Específico, atualizado a cada </w:t>
      </w:r>
      <w:r w:rsidRPr="007E3D0B">
        <w:rPr>
          <w:rFonts w:asciiTheme="minorHAnsi" w:hAnsiTheme="minorHAnsi" w:cstheme="minorHAnsi"/>
          <w:b/>
          <w:bCs/>
          <w:color w:val="000000" w:themeColor="text1"/>
        </w:rPr>
        <w:t>24 (vinte e quatro) meses</w:t>
      </w:r>
      <w:r w:rsidRPr="007E3D0B">
        <w:rPr>
          <w:rFonts w:asciiTheme="minorHAnsi" w:hAnsiTheme="minorHAnsi" w:cstheme="minorHAnsi"/>
          <w:color w:val="000000" w:themeColor="text1"/>
        </w:rPr>
        <w:t xml:space="preserve"> ou sempre que ocorrer alteração relevante na estrutura da consultoria ou nos requisitos normativos aplicáveis.</w:t>
      </w:r>
    </w:p>
    <w:p w14:paraId="4EC52AC4" w14:textId="77777777" w:rsidR="00500AE2" w:rsidRPr="007E3D0B" w:rsidRDefault="00500AE2" w:rsidP="004F698B">
      <w:pPr>
        <w:pStyle w:val="Ttulo1"/>
        <w:rPr>
          <w:rFonts w:asciiTheme="minorHAnsi" w:hAnsiTheme="minorHAnsi" w:cstheme="minorHAnsi"/>
          <w:color w:val="000000" w:themeColor="text1"/>
          <w:sz w:val="22"/>
          <w:szCs w:val="22"/>
        </w:rPr>
      </w:pPr>
      <w:bookmarkStart w:id="117" w:name="_Toc118105158"/>
      <w:bookmarkStart w:id="118" w:name="_Toc213399439"/>
      <w:r w:rsidRPr="007E3D0B">
        <w:rPr>
          <w:rFonts w:asciiTheme="minorHAnsi" w:hAnsiTheme="minorHAnsi" w:cstheme="minorHAnsi"/>
          <w:color w:val="000000" w:themeColor="text1"/>
          <w:sz w:val="22"/>
          <w:szCs w:val="22"/>
        </w:rPr>
        <w:t>PRECIFICAÇÃO DE ATIVOS</w:t>
      </w:r>
      <w:bookmarkEnd w:id="117"/>
      <w:bookmarkEnd w:id="118"/>
    </w:p>
    <w:p w14:paraId="7D0683CE"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Os princípios e critérios de precificação para os ativos e os fundos de investimentos que compõe ou que virão a compor a carteira de investimentos do </w:t>
      </w:r>
      <w:r w:rsidRPr="007E3D0B">
        <w:rPr>
          <w:rFonts w:asciiTheme="minorHAnsi" w:hAnsiTheme="minorHAnsi" w:cstheme="minorHAnsi"/>
          <w:b/>
          <w:color w:val="000000" w:themeColor="text1"/>
        </w:rPr>
        <w:t>INSTITUTO DE PREVIDÊNCIA MUNICIPAL DE SANTO ANTÔNIO DE POSSE - IPREM POSSE</w:t>
      </w:r>
      <w:r w:rsidRPr="007E3D0B">
        <w:rPr>
          <w:rFonts w:asciiTheme="minorHAnsi" w:hAnsiTheme="minorHAnsi" w:cstheme="minorHAnsi"/>
          <w:color w:val="000000" w:themeColor="text1"/>
        </w:rPr>
        <w:t>, deverão seguir o critério de precificação de marcação a mercado (</w:t>
      </w:r>
      <w:proofErr w:type="spellStart"/>
      <w:r w:rsidRPr="007E3D0B">
        <w:rPr>
          <w:rFonts w:asciiTheme="minorHAnsi" w:hAnsiTheme="minorHAnsi" w:cstheme="minorHAnsi"/>
          <w:color w:val="000000" w:themeColor="text1"/>
        </w:rPr>
        <w:t>MaM</w:t>
      </w:r>
      <w:proofErr w:type="spellEnd"/>
      <w:r w:rsidRPr="007E3D0B">
        <w:rPr>
          <w:rFonts w:asciiTheme="minorHAnsi" w:hAnsiTheme="minorHAnsi" w:cstheme="minorHAnsi"/>
          <w:color w:val="000000" w:themeColor="text1"/>
        </w:rPr>
        <w:t>).</w:t>
      </w:r>
    </w:p>
    <w:p w14:paraId="7DFB7789" w14:textId="77777777" w:rsidR="00500AE2" w:rsidRPr="007E3D0B" w:rsidRDefault="00DB7944" w:rsidP="00A468C9">
      <w:pPr>
        <w:pStyle w:val="Ttulo2"/>
        <w:rPr>
          <w:rFonts w:asciiTheme="minorHAnsi" w:hAnsiTheme="minorHAnsi" w:cstheme="minorHAnsi"/>
          <w:color w:val="000000" w:themeColor="text1"/>
          <w:sz w:val="22"/>
          <w:szCs w:val="22"/>
        </w:rPr>
      </w:pPr>
      <w:bookmarkStart w:id="119" w:name="_Toc118105159"/>
      <w:r w:rsidRPr="007E3D0B">
        <w:rPr>
          <w:rFonts w:asciiTheme="minorHAnsi" w:hAnsiTheme="minorHAnsi" w:cstheme="minorHAnsi"/>
          <w:color w:val="000000" w:themeColor="text1"/>
          <w:sz w:val="22"/>
          <w:szCs w:val="22"/>
        </w:rPr>
        <w:t>Metodologia</w:t>
      </w:r>
      <w:bookmarkEnd w:id="119"/>
    </w:p>
    <w:p w14:paraId="3325ACCB" w14:textId="77777777" w:rsidR="00500AE2" w:rsidRPr="007E3D0B" w:rsidRDefault="00DB7944" w:rsidP="00A468C9">
      <w:pPr>
        <w:pStyle w:val="Ttulo3"/>
        <w:rPr>
          <w:rFonts w:asciiTheme="minorHAnsi" w:hAnsiTheme="minorHAnsi" w:cstheme="minorHAnsi"/>
          <w:color w:val="000000" w:themeColor="text1"/>
          <w:sz w:val="22"/>
          <w:szCs w:val="22"/>
        </w:rPr>
      </w:pPr>
      <w:bookmarkStart w:id="120" w:name="_Toc118105160"/>
      <w:r w:rsidRPr="007E3D0B">
        <w:rPr>
          <w:rFonts w:asciiTheme="minorHAnsi" w:hAnsiTheme="minorHAnsi" w:cstheme="minorHAnsi"/>
          <w:color w:val="000000" w:themeColor="text1"/>
          <w:sz w:val="22"/>
          <w:szCs w:val="22"/>
        </w:rPr>
        <w:t>Marcações</w:t>
      </w:r>
      <w:bookmarkEnd w:id="120"/>
    </w:p>
    <w:p w14:paraId="4762C27C"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processo de </w:t>
      </w:r>
      <w:r w:rsidRPr="007E3D0B">
        <w:rPr>
          <w:rFonts w:asciiTheme="minorHAnsi" w:hAnsiTheme="minorHAnsi" w:cstheme="minorHAnsi"/>
          <w:b/>
          <w:color w:val="000000" w:themeColor="text1"/>
          <w:u w:val="single"/>
        </w:rPr>
        <w:t>marcação a mercado</w:t>
      </w:r>
      <w:r w:rsidRPr="007E3D0B">
        <w:rPr>
          <w:rFonts w:asciiTheme="minorHAnsi" w:hAnsiTheme="minorHAnsi" w:cstheme="minorHAnsi"/>
          <w:color w:val="000000" w:themeColor="text1"/>
        </w:rPr>
        <w:t xml:space="preserve"> consiste em atribuir um preço justo a um determinado ativo ou derivativo, seja pelo preço de mercado, caso haja liquidez, ou seja, na ausência desta, pela melhor estimativa que o preço do ativo teria em uma eventual negociação.</w:t>
      </w:r>
    </w:p>
    <w:p w14:paraId="32CBE79D"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processo de </w:t>
      </w:r>
      <w:r w:rsidRPr="007E3D0B">
        <w:rPr>
          <w:rFonts w:asciiTheme="minorHAnsi" w:hAnsiTheme="minorHAnsi" w:cstheme="minorHAnsi"/>
          <w:b/>
          <w:color w:val="000000" w:themeColor="text1"/>
          <w:u w:val="single"/>
        </w:rPr>
        <w:t>marcação na curva</w:t>
      </w:r>
      <w:r w:rsidRPr="007E3D0B">
        <w:rPr>
          <w:rFonts w:asciiTheme="minorHAnsi" w:hAnsiTheme="minorHAnsi" w:cstheme="minorHAnsi"/>
          <w:color w:val="000000" w:themeColor="text1"/>
        </w:rPr>
        <w:t xml:space="preserve"> consiste na contabilização do valor de compra de um determinado título, acrescido da variação da taxa de juros, desde que a emissão do papel seja carregada até o seu respectivo vencimento. O valor será atualizado diariamente, sem considerar a oscilações de preço auferidas no mercado.</w:t>
      </w:r>
    </w:p>
    <w:p w14:paraId="53814056" w14:textId="77777777" w:rsidR="00635488" w:rsidRPr="007E3D0B" w:rsidRDefault="00635488" w:rsidP="00500AE2">
      <w:pPr>
        <w:rPr>
          <w:rFonts w:asciiTheme="minorHAnsi" w:hAnsiTheme="minorHAnsi" w:cstheme="minorHAnsi"/>
          <w:color w:val="000000" w:themeColor="text1"/>
        </w:rPr>
      </w:pPr>
    </w:p>
    <w:p w14:paraId="208DF5F7" w14:textId="77777777" w:rsidR="00500AE2" w:rsidRPr="007E3D0B" w:rsidRDefault="00DB7944" w:rsidP="00A468C9">
      <w:pPr>
        <w:pStyle w:val="Ttulo2"/>
        <w:rPr>
          <w:rFonts w:asciiTheme="minorHAnsi" w:hAnsiTheme="minorHAnsi" w:cstheme="minorHAnsi"/>
          <w:color w:val="000000" w:themeColor="text1"/>
          <w:sz w:val="22"/>
          <w:szCs w:val="22"/>
        </w:rPr>
      </w:pPr>
      <w:bookmarkStart w:id="121" w:name="_Toc118105161"/>
      <w:r w:rsidRPr="007E3D0B">
        <w:rPr>
          <w:rFonts w:asciiTheme="minorHAnsi" w:hAnsiTheme="minorHAnsi" w:cstheme="minorHAnsi"/>
          <w:color w:val="000000" w:themeColor="text1"/>
          <w:sz w:val="22"/>
          <w:szCs w:val="22"/>
        </w:rPr>
        <w:t>Critérios de Precificação</w:t>
      </w:r>
      <w:bookmarkEnd w:id="121"/>
    </w:p>
    <w:p w14:paraId="0121CC97" w14:textId="77777777" w:rsidR="00500AE2" w:rsidRPr="007E3D0B" w:rsidRDefault="00DB7944" w:rsidP="00A468C9">
      <w:pPr>
        <w:pStyle w:val="Ttulo3"/>
        <w:rPr>
          <w:rFonts w:asciiTheme="minorHAnsi" w:hAnsiTheme="minorHAnsi" w:cstheme="minorHAnsi"/>
          <w:color w:val="000000" w:themeColor="text1"/>
          <w:sz w:val="22"/>
          <w:szCs w:val="22"/>
        </w:rPr>
      </w:pPr>
      <w:bookmarkStart w:id="122" w:name="_Toc118105162"/>
      <w:r w:rsidRPr="007E3D0B">
        <w:rPr>
          <w:rFonts w:asciiTheme="minorHAnsi" w:hAnsiTheme="minorHAnsi" w:cstheme="minorHAnsi"/>
          <w:color w:val="000000" w:themeColor="text1"/>
          <w:sz w:val="22"/>
          <w:szCs w:val="22"/>
        </w:rPr>
        <w:t>Títulos Públicos Federais</w:t>
      </w:r>
      <w:bookmarkEnd w:id="122"/>
    </w:p>
    <w:p w14:paraId="08B277C1"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São ativos de renda fixa emitidos pelo Tesouro Nacional, que representam uma forma de financiar a dívida pública e permitem que os investidores emprestem dinheiro para o governo, recebendo em troca uma determinada rentabilidade. Possuem diversas características como: liquidez diária, baixo custo, baixíssimo risco de crédito, e a solidez de uma instituição enorme por trás.</w:t>
      </w:r>
    </w:p>
    <w:p w14:paraId="41A8D1C0"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Como fonte primária de dados, a curva de títulos em reais, gerada a partir da taxa indicativa divulgada pela ANBIMA e a taxa de juros divulgada pelo Banco Central, encontramos o valor do preço unitário do título público.</w:t>
      </w:r>
    </w:p>
    <w:p w14:paraId="04837F4B" w14:textId="77777777" w:rsidR="00500AE2" w:rsidRPr="007E3D0B" w:rsidRDefault="00500AE2" w:rsidP="00F32905">
      <w:pPr>
        <w:pStyle w:val="Ttulo4"/>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Marcação a Mercado</w:t>
      </w:r>
    </w:p>
    <w:p w14:paraId="43B71572"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Através do preço unitário divulgado no extrato do custodiante, multiplicado pela quantidade de títulos públicos detidos pelo regime, obtivemos o valor a mercado do título público na carteira de investimentos. Abaixo segue fórmula:</w:t>
      </w:r>
    </w:p>
    <w:p w14:paraId="61BE8EE7" w14:textId="77777777" w:rsidR="00500AE2" w:rsidRPr="007E3D0B" w:rsidRDefault="00500AE2" w:rsidP="00500AE2">
      <w:pPr>
        <w:rPr>
          <w:rFonts w:asciiTheme="minorHAnsi" w:hAnsiTheme="minorHAnsi" w:cstheme="minorHAnsi"/>
          <w:color w:val="000000" w:themeColor="text1"/>
        </w:rPr>
      </w:pPr>
      <m:oMathPara>
        <m:oMathParaPr>
          <m:jc m:val="center"/>
        </m:oMathParaPr>
        <m:oMath>
          <m:r>
            <w:rPr>
              <w:rFonts w:ascii="Cambria Math" w:hAnsi="Cambria Math" w:cstheme="minorHAnsi"/>
              <w:color w:val="000000" w:themeColor="text1"/>
            </w:rPr>
            <m:t>Vm=P</m:t>
          </m:r>
          <m:sSub>
            <m:sSubPr>
              <m:ctrlPr>
                <w:rPr>
                  <w:rFonts w:ascii="Cambria Math" w:hAnsi="Cambria Math" w:cstheme="minorHAnsi"/>
                  <w:i/>
                  <w:color w:val="000000" w:themeColor="text1"/>
                </w:rPr>
              </m:ctrlPr>
            </m:sSubPr>
            <m:e>
              <m:r>
                <w:rPr>
                  <w:rFonts w:ascii="Cambria Math" w:hAnsi="Cambria Math" w:cstheme="minorHAnsi"/>
                  <w:color w:val="000000" w:themeColor="text1"/>
                </w:rPr>
                <m:t>U</m:t>
              </m:r>
            </m:e>
            <m:sub>
              <m:r>
                <w:rPr>
                  <w:rFonts w:ascii="Cambria Math" w:hAnsi="Cambria Math" w:cstheme="minorHAnsi"/>
                  <w:color w:val="000000" w:themeColor="text1"/>
                </w:rPr>
                <m:t>Atual</m:t>
              </m:r>
            </m:sub>
          </m:sSub>
          <m:r>
            <w:rPr>
              <w:rFonts w:ascii="Cambria Math" w:hAnsi="Cambria Math" w:cstheme="minorHAnsi"/>
              <w:color w:val="000000" w:themeColor="text1"/>
            </w:rPr>
            <m:t>*Q</m:t>
          </m:r>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título</m:t>
              </m:r>
            </m:sub>
          </m:sSub>
        </m:oMath>
      </m:oMathPara>
    </w:p>
    <w:p w14:paraId="667D219C"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w:t>
      </w:r>
    </w:p>
    <w:p w14:paraId="697F5AE0" w14:textId="77777777" w:rsidR="00500AE2" w:rsidRPr="007E3D0B" w:rsidRDefault="00500AE2" w:rsidP="00500AE2">
      <w:pPr>
        <w:spacing w:after="0"/>
        <w:ind w:left="1134"/>
        <w:rPr>
          <w:rFonts w:asciiTheme="minorHAnsi" w:hAnsiTheme="minorHAnsi" w:cstheme="minorHAnsi"/>
          <w:color w:val="000000" w:themeColor="text1"/>
        </w:rPr>
      </w:pPr>
      <w:proofErr w:type="spellStart"/>
      <w:r w:rsidRPr="007E3D0B">
        <w:rPr>
          <w:rFonts w:asciiTheme="minorHAnsi" w:hAnsiTheme="minorHAnsi" w:cstheme="minorHAnsi"/>
          <w:b/>
          <w:i/>
          <w:color w:val="000000" w:themeColor="text1"/>
        </w:rPr>
        <w:t>Vm</w:t>
      </w:r>
      <w:proofErr w:type="spellEnd"/>
      <w:r w:rsidRPr="007E3D0B">
        <w:rPr>
          <w:rFonts w:asciiTheme="minorHAnsi" w:hAnsiTheme="minorHAnsi" w:cstheme="minorHAnsi"/>
          <w:color w:val="000000" w:themeColor="text1"/>
        </w:rPr>
        <w:t xml:space="preserve"> = valor de mercado</w:t>
      </w:r>
    </w:p>
    <w:p w14:paraId="55CE3138" w14:textId="77777777" w:rsidR="00500AE2" w:rsidRPr="007E3D0B" w:rsidRDefault="00500AE2" w:rsidP="00500AE2">
      <w:pPr>
        <w:spacing w:after="0"/>
        <w:ind w:left="1134"/>
        <w:rPr>
          <w:rFonts w:asciiTheme="minorHAnsi" w:hAnsiTheme="minorHAnsi" w:cstheme="minorHAnsi"/>
          <w:color w:val="000000" w:themeColor="text1"/>
        </w:rPr>
      </w:pPr>
      <m:oMath>
        <m:r>
          <w:rPr>
            <w:rFonts w:ascii="Cambria Math" w:eastAsiaTheme="minorEastAsia" w:hAnsi="Cambria Math" w:cstheme="minorHAnsi"/>
            <w:color w:val="000000" w:themeColor="text1"/>
          </w:rPr>
          <m:t>P</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U</m:t>
            </m:r>
          </m:e>
          <m:sub>
            <m:r>
              <w:rPr>
                <w:rFonts w:ascii="Cambria Math" w:eastAsiaTheme="minorEastAsia" w:hAnsi="Cambria Math" w:cstheme="minorHAnsi"/>
                <w:color w:val="000000" w:themeColor="text1"/>
              </w:rPr>
              <m:t>atual</m:t>
            </m:r>
          </m:sub>
        </m:sSub>
      </m:oMath>
      <w:r w:rsidRPr="007E3D0B">
        <w:rPr>
          <w:rFonts w:asciiTheme="minorHAnsi" w:hAnsiTheme="minorHAnsi" w:cstheme="minorHAnsi"/>
          <w:color w:val="000000" w:themeColor="text1"/>
        </w:rPr>
        <w:t xml:space="preserve"> = preço unitário atual</w:t>
      </w:r>
    </w:p>
    <w:p w14:paraId="6243161F" w14:textId="77777777" w:rsidR="00500AE2" w:rsidRPr="007E3D0B" w:rsidRDefault="00500AE2" w:rsidP="00500AE2">
      <w:pPr>
        <w:ind w:left="1134"/>
        <w:rPr>
          <w:rFonts w:asciiTheme="minorHAnsi" w:hAnsiTheme="minorHAnsi" w:cstheme="minorHAnsi"/>
          <w:color w:val="000000" w:themeColor="text1"/>
        </w:rPr>
      </w:pPr>
      <m:oMath>
        <m:r>
          <w:rPr>
            <w:rFonts w:ascii="Cambria Math" w:hAnsi="Cambria Math" w:cstheme="minorHAnsi"/>
            <w:color w:val="000000" w:themeColor="text1"/>
          </w:rPr>
          <m:t>Q</m:t>
        </m:r>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títulos</m:t>
            </m:r>
          </m:sub>
        </m:sSub>
      </m:oMath>
      <w:r w:rsidRPr="007E3D0B">
        <w:rPr>
          <w:rFonts w:asciiTheme="minorHAnsi" w:hAnsiTheme="minorHAnsi" w:cstheme="minorHAnsi"/>
          <w:color w:val="000000" w:themeColor="text1"/>
        </w:rPr>
        <w:t xml:space="preserve"> = quantidade de títulos em posso do regime</w:t>
      </w:r>
    </w:p>
    <w:p w14:paraId="42B488DD" w14:textId="77777777" w:rsidR="00500AE2" w:rsidRPr="007E3D0B" w:rsidRDefault="00500AE2" w:rsidP="00F32905">
      <w:pPr>
        <w:pStyle w:val="Ttulo4"/>
        <w:rPr>
          <w:rFonts w:asciiTheme="minorHAnsi" w:hAnsiTheme="minorHAnsi" w:cstheme="minorHAnsi"/>
          <w:color w:val="000000" w:themeColor="text1"/>
        </w:rPr>
      </w:pPr>
      <w:r w:rsidRPr="007E3D0B">
        <w:rPr>
          <w:rFonts w:asciiTheme="minorHAnsi" w:hAnsiTheme="minorHAnsi" w:cstheme="minorHAnsi"/>
          <w:color w:val="000000" w:themeColor="text1"/>
        </w:rPr>
        <w:t>Marcação na Curva</w:t>
      </w:r>
    </w:p>
    <w:p w14:paraId="22F36BD1" w14:textId="77777777" w:rsidR="00167BA3" w:rsidRPr="007E3D0B" w:rsidRDefault="00247DFC" w:rsidP="00AD276C">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Na aquisição dos Títulos Públicos Federais contabilizados pelos respectivos custos de aquisição, acrescidos dos rendimentos auferidos,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deverá cumprir cumulativamente as exigências da Portaria MTP n° 1.467/2021 sendo elas:</w:t>
      </w:r>
    </w:p>
    <w:p w14:paraId="6F7BE91F" w14:textId="77777777" w:rsidR="00167BA3" w:rsidRPr="007E3D0B" w:rsidRDefault="00AD276C" w:rsidP="008B69D1">
      <w:pPr>
        <w:pStyle w:val="PargrafodaLista"/>
        <w:numPr>
          <w:ilvl w:val="0"/>
          <w:numId w:val="9"/>
        </w:numPr>
        <w:rPr>
          <w:rFonts w:asciiTheme="minorHAnsi" w:hAnsiTheme="minorHAnsi" w:cstheme="minorHAnsi"/>
          <w:bCs/>
          <w:color w:val="000000" w:themeColor="text1"/>
        </w:rPr>
      </w:pPr>
      <w:r w:rsidRPr="007E3D0B">
        <w:rPr>
          <w:rFonts w:asciiTheme="minorHAnsi" w:hAnsiTheme="minorHAnsi" w:cstheme="minorHAnsi"/>
          <w:bCs/>
          <w:color w:val="000000" w:themeColor="text1"/>
        </w:rPr>
        <w:t>s</w:t>
      </w:r>
      <w:r w:rsidR="00247DFC" w:rsidRPr="007E3D0B">
        <w:rPr>
          <w:rFonts w:asciiTheme="minorHAnsi" w:hAnsiTheme="minorHAnsi" w:cstheme="minorHAnsi"/>
          <w:bCs/>
          <w:color w:val="000000" w:themeColor="text1"/>
        </w:rPr>
        <w:t>eja observada a sua compatibilidade com os prazos e taxas das obrigações presentes e futuras</w:t>
      </w:r>
      <w:r w:rsidR="00167BA3" w:rsidRPr="007E3D0B">
        <w:rPr>
          <w:rFonts w:asciiTheme="minorHAnsi" w:hAnsiTheme="minorHAnsi" w:cstheme="minorHAnsi"/>
          <w:bCs/>
          <w:color w:val="000000" w:themeColor="text1"/>
        </w:rPr>
        <w:t>;</w:t>
      </w:r>
    </w:p>
    <w:p w14:paraId="7FAB2CF0" w14:textId="77777777" w:rsidR="00167BA3" w:rsidRPr="007E3D0B" w:rsidRDefault="00167BA3" w:rsidP="00167BA3">
      <w:pPr>
        <w:pStyle w:val="PargrafodaLista"/>
        <w:rPr>
          <w:rFonts w:asciiTheme="minorHAnsi" w:hAnsiTheme="minorHAnsi" w:cstheme="minorHAnsi"/>
          <w:bCs/>
          <w:color w:val="000000" w:themeColor="text1"/>
        </w:rPr>
      </w:pPr>
    </w:p>
    <w:p w14:paraId="64E7FBEE" w14:textId="77777777" w:rsidR="00167BA3" w:rsidRPr="007E3D0B" w:rsidRDefault="00AD276C" w:rsidP="008B69D1">
      <w:pPr>
        <w:pStyle w:val="PargrafodaLista"/>
        <w:numPr>
          <w:ilvl w:val="0"/>
          <w:numId w:val="9"/>
        </w:numPr>
        <w:rPr>
          <w:rFonts w:asciiTheme="minorHAnsi" w:hAnsiTheme="minorHAnsi" w:cstheme="minorHAnsi"/>
          <w:bCs/>
          <w:color w:val="000000" w:themeColor="text1"/>
        </w:rPr>
      </w:pPr>
      <w:r w:rsidRPr="007E3D0B">
        <w:rPr>
          <w:rFonts w:asciiTheme="minorHAnsi" w:hAnsiTheme="minorHAnsi" w:cstheme="minorHAnsi"/>
          <w:bCs/>
          <w:color w:val="000000" w:themeColor="text1"/>
        </w:rPr>
        <w:t>s</w:t>
      </w:r>
      <w:r w:rsidR="00247DFC" w:rsidRPr="007E3D0B">
        <w:rPr>
          <w:rFonts w:asciiTheme="minorHAnsi" w:hAnsiTheme="minorHAnsi" w:cstheme="minorHAnsi"/>
          <w:bCs/>
          <w:color w:val="000000" w:themeColor="text1"/>
        </w:rPr>
        <w:t>ejam classificados separadamente dos ativos para negociação, ou seja, daqueles adquiridos com o propósito de serem negociados, independentemente do prazo a decorrer da data da aquisição;</w:t>
      </w:r>
    </w:p>
    <w:p w14:paraId="32B8C655" w14:textId="77777777" w:rsidR="00167BA3" w:rsidRPr="007E3D0B" w:rsidRDefault="00167BA3" w:rsidP="00167BA3">
      <w:pPr>
        <w:pStyle w:val="PargrafodaLista"/>
        <w:rPr>
          <w:rFonts w:asciiTheme="minorHAnsi" w:hAnsiTheme="minorHAnsi" w:cstheme="minorHAnsi"/>
          <w:bCs/>
          <w:color w:val="000000" w:themeColor="text1"/>
        </w:rPr>
      </w:pPr>
    </w:p>
    <w:p w14:paraId="759D81CB" w14:textId="77777777" w:rsidR="00167BA3" w:rsidRPr="007E3D0B" w:rsidRDefault="00AD276C" w:rsidP="008B69D1">
      <w:pPr>
        <w:pStyle w:val="PargrafodaLista"/>
        <w:numPr>
          <w:ilvl w:val="0"/>
          <w:numId w:val="9"/>
        </w:numPr>
        <w:rPr>
          <w:rFonts w:asciiTheme="minorHAnsi" w:hAnsiTheme="minorHAnsi" w:cstheme="minorHAnsi"/>
          <w:bCs/>
          <w:color w:val="000000" w:themeColor="text1"/>
        </w:rPr>
      </w:pPr>
      <w:r w:rsidRPr="007E3D0B">
        <w:rPr>
          <w:rFonts w:asciiTheme="minorHAnsi" w:hAnsiTheme="minorHAnsi" w:cstheme="minorHAnsi"/>
          <w:bCs/>
          <w:color w:val="000000" w:themeColor="text1"/>
        </w:rPr>
        <w:t>s</w:t>
      </w:r>
      <w:r w:rsidR="00247DFC" w:rsidRPr="007E3D0B">
        <w:rPr>
          <w:rFonts w:asciiTheme="minorHAnsi" w:hAnsiTheme="minorHAnsi" w:cstheme="minorHAnsi"/>
          <w:bCs/>
          <w:color w:val="000000" w:themeColor="text1"/>
        </w:rPr>
        <w:t xml:space="preserve">eja comprovada a intenção e capacidade financeira do </w:t>
      </w:r>
      <w:r w:rsidRPr="007E3D0B">
        <w:rPr>
          <w:rFonts w:asciiTheme="minorHAnsi" w:hAnsiTheme="minorHAnsi" w:cstheme="minorHAnsi"/>
          <w:b/>
          <w:bCs/>
          <w:color w:val="000000" w:themeColor="text1"/>
        </w:rPr>
        <w:t>INSTITUTO DE PREVIDÊNCIA MUNICIPAL DE SANTO ANTÔNIO DE POSSE - IPREM POSSE</w:t>
      </w:r>
      <w:r w:rsidR="00247DFC" w:rsidRPr="007E3D0B">
        <w:rPr>
          <w:rFonts w:asciiTheme="minorHAnsi" w:hAnsiTheme="minorHAnsi" w:cstheme="minorHAnsi"/>
          <w:bCs/>
          <w:color w:val="000000" w:themeColor="text1"/>
        </w:rPr>
        <w:t xml:space="preserve"> de mantê-los em carteira até o vencimento; e</w:t>
      </w:r>
    </w:p>
    <w:p w14:paraId="36893D8F" w14:textId="77777777" w:rsidR="00167BA3" w:rsidRPr="007E3D0B" w:rsidRDefault="00167BA3" w:rsidP="00167BA3">
      <w:pPr>
        <w:pStyle w:val="PargrafodaLista"/>
        <w:rPr>
          <w:rFonts w:asciiTheme="minorHAnsi" w:hAnsiTheme="minorHAnsi" w:cstheme="minorHAnsi"/>
          <w:bCs/>
          <w:color w:val="000000" w:themeColor="text1"/>
        </w:rPr>
      </w:pPr>
    </w:p>
    <w:p w14:paraId="4A0B77AE" w14:textId="77777777" w:rsidR="00247DFC" w:rsidRPr="007E3D0B" w:rsidRDefault="00AD276C" w:rsidP="008B69D1">
      <w:pPr>
        <w:pStyle w:val="PargrafodaLista"/>
        <w:numPr>
          <w:ilvl w:val="0"/>
          <w:numId w:val="9"/>
        </w:numPr>
        <w:rPr>
          <w:rFonts w:asciiTheme="minorHAnsi" w:hAnsiTheme="minorHAnsi" w:cstheme="minorHAnsi"/>
          <w:bCs/>
          <w:color w:val="000000" w:themeColor="text1"/>
        </w:rPr>
      </w:pPr>
      <w:r w:rsidRPr="007E3D0B">
        <w:rPr>
          <w:rFonts w:asciiTheme="minorHAnsi" w:hAnsiTheme="minorHAnsi" w:cstheme="minorHAnsi"/>
          <w:bCs/>
          <w:color w:val="000000" w:themeColor="text1"/>
        </w:rPr>
        <w:t>s</w:t>
      </w:r>
      <w:r w:rsidR="00247DFC" w:rsidRPr="007E3D0B">
        <w:rPr>
          <w:rFonts w:asciiTheme="minorHAnsi" w:hAnsiTheme="minorHAnsi" w:cstheme="minorHAnsi"/>
          <w:bCs/>
          <w:color w:val="000000" w:themeColor="text1"/>
        </w:rPr>
        <w:t>ejam atendidas as normas de atuária e de contabilidade aplicáveis, inclusive no que se refere à obrigatoriedade de divulgação das informações relativas aos títulos adquiridos, ao impacto nos resultados e aos requisitos e procedimentos, na hipótese de alteração da forma de precificação dos títulos de emissão do Tesouro Nacional.</w:t>
      </w:r>
    </w:p>
    <w:p w14:paraId="34FB3B28"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Como a precificação na curva é dada pela apropriação natural de juros até a data de vencimento do título, as fórmulas variam de acordo com o tipo de papel, sendo:</w:t>
      </w:r>
    </w:p>
    <w:p w14:paraId="25194B6B" w14:textId="77777777" w:rsidR="00500AE2" w:rsidRPr="007E3D0B" w:rsidRDefault="00500AE2"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Tesouro IPCA – NTN-B</w:t>
      </w:r>
    </w:p>
    <w:p w14:paraId="566F1233"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Tesouro IPCA – NTN-B Principal possui fluxo de pagamento simples, ou seja, o investidor faz a aplicação e resgata o valor de face (valor investido somado à rentabilidade) na data de vencimento do título.</w:t>
      </w:r>
    </w:p>
    <w:p w14:paraId="7E1A0F8E"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É um título pós-fixado cujo rendimento se dá por uma taxa definida mais a variação da taxa do Índice Nacional de Preço ao Consumidor Amplo em um determinado período.</w:t>
      </w:r>
    </w:p>
    <w:p w14:paraId="48D3C368"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Valor Nominal Atualizado é calculado através do VNA na data de compra do título e da projeção do IPCA para a data de liquidação, seguindo a equação:</w:t>
      </w:r>
    </w:p>
    <w:p w14:paraId="7EFC3A54" w14:textId="77777777" w:rsidR="00500AE2" w:rsidRPr="007E3D0B" w:rsidRDefault="00500AE2" w:rsidP="00500AE2">
      <w:pPr>
        <w:rPr>
          <w:rFonts w:asciiTheme="minorHAnsi" w:eastAsiaTheme="minorEastAsia" w:hAnsiTheme="minorHAnsi" w:cstheme="minorHAnsi"/>
          <w:i/>
          <w:color w:val="000000" w:themeColor="text1"/>
        </w:rPr>
      </w:pPr>
      <m:oMathPara>
        <m:oMath>
          <m:r>
            <w:rPr>
              <w:rFonts w:ascii="Cambria Math" w:hAnsi="Cambria Math" w:cstheme="minorHAnsi"/>
              <w:color w:val="000000" w:themeColor="text1"/>
            </w:rPr>
            <w:lastRenderedPageBreak/>
            <m:t>VNA=</m:t>
          </m:r>
          <m:sSub>
            <m:sSubPr>
              <m:ctrlPr>
                <w:rPr>
                  <w:rFonts w:ascii="Cambria Math" w:hAnsi="Cambria Math" w:cstheme="minorHAnsi"/>
                  <w:i/>
                  <w:color w:val="000000" w:themeColor="text1"/>
                </w:rPr>
              </m:ctrlPr>
            </m:sSubPr>
            <m:e>
              <m:r>
                <w:rPr>
                  <w:rFonts w:ascii="Cambria Math" w:hAnsi="Cambria Math" w:cstheme="minorHAnsi"/>
                  <w:color w:val="000000" w:themeColor="text1"/>
                </w:rPr>
                <m:t>VNA</m:t>
              </m:r>
            </m:e>
            <m:sub>
              <m:r>
                <w:rPr>
                  <w:rFonts w:ascii="Cambria Math" w:hAnsi="Cambria Math" w:cstheme="minorHAnsi"/>
                  <w:color w:val="000000" w:themeColor="text1"/>
                </w:rPr>
                <m:t>data de compra</m:t>
              </m:r>
            </m:sub>
          </m:sSub>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IPCA</m:t>
                      </m:r>
                    </m:e>
                    <m:sub>
                      <m:r>
                        <w:rPr>
                          <w:rFonts w:ascii="Cambria Math" w:hAnsi="Cambria Math" w:cstheme="minorHAnsi"/>
                          <w:color w:val="000000" w:themeColor="text1"/>
                        </w:rPr>
                        <m:t>projetado</m:t>
                      </m:r>
                    </m:sub>
                  </m:sSub>
                </m:e>
              </m:d>
            </m:e>
            <m:sup>
              <m:r>
                <w:rPr>
                  <w:rFonts w:ascii="Cambria Math" w:hAnsi="Cambria Math" w:cstheme="minorHAnsi"/>
                  <w:color w:val="000000" w:themeColor="text1"/>
                </w:rPr>
                <m:t>1/252</m:t>
              </m:r>
            </m:sup>
          </m:sSup>
        </m:oMath>
      </m:oMathPara>
    </w:p>
    <w:p w14:paraId="2D56A8A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w:t>
      </w:r>
    </w:p>
    <w:p w14:paraId="70908CCB"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VNA</m:t>
        </m:r>
      </m:oMath>
      <w:r w:rsidRPr="007E3D0B">
        <w:rPr>
          <w:rFonts w:asciiTheme="minorHAnsi" w:eastAsiaTheme="minorEastAsia" w:hAnsiTheme="minorHAnsi" w:cstheme="minorHAnsi"/>
          <w:color w:val="000000" w:themeColor="text1"/>
        </w:rPr>
        <w:t xml:space="preserve"> = Valor Nominal Atualizado</w:t>
      </w:r>
    </w:p>
    <w:p w14:paraId="74763331" w14:textId="77777777" w:rsidR="00500AE2" w:rsidRPr="007E3D0B" w:rsidRDefault="00000000" w:rsidP="00500AE2">
      <w:pPr>
        <w:spacing w:after="0"/>
        <w:ind w:left="1134"/>
        <w:rPr>
          <w:rFonts w:asciiTheme="minorHAnsi" w:eastAsiaTheme="minorEastAsia"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VNA</m:t>
            </m:r>
          </m:e>
          <m:sub>
            <m:r>
              <w:rPr>
                <w:rFonts w:ascii="Cambria Math" w:hAnsi="Cambria Math" w:cstheme="minorHAnsi"/>
                <w:color w:val="000000" w:themeColor="text1"/>
              </w:rPr>
              <m:t>data de compra</m:t>
            </m:r>
          </m:sub>
        </m:sSub>
      </m:oMath>
      <w:r w:rsidR="00500AE2" w:rsidRPr="007E3D0B">
        <w:rPr>
          <w:rFonts w:asciiTheme="minorHAnsi" w:eastAsiaTheme="minorEastAsia" w:hAnsiTheme="minorHAnsi" w:cstheme="minorHAnsi"/>
          <w:color w:val="000000" w:themeColor="text1"/>
        </w:rPr>
        <w:t xml:space="preserve"> = Valor Nominal Atualizado na data da compra</w:t>
      </w:r>
    </w:p>
    <w:p w14:paraId="7596CAEB" w14:textId="77777777" w:rsidR="00500AE2" w:rsidRPr="007E3D0B" w:rsidRDefault="00000000" w:rsidP="00500AE2">
      <w:pPr>
        <w:ind w:left="1134"/>
        <w:rPr>
          <w:rFonts w:asciiTheme="minorHAnsi"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IPCA</m:t>
            </m:r>
          </m:e>
          <m:sub>
            <m:r>
              <w:rPr>
                <w:rFonts w:ascii="Cambria Math" w:hAnsi="Cambria Math" w:cstheme="minorHAnsi"/>
                <w:color w:val="000000" w:themeColor="text1"/>
              </w:rPr>
              <m:t>projetado</m:t>
            </m:r>
          </m:sub>
        </m:sSub>
      </m:oMath>
      <w:r w:rsidR="00500AE2" w:rsidRPr="007E3D0B">
        <w:rPr>
          <w:rFonts w:asciiTheme="minorHAnsi" w:eastAsiaTheme="minorEastAsia" w:hAnsiTheme="minorHAnsi" w:cstheme="minorHAnsi"/>
          <w:color w:val="000000" w:themeColor="text1"/>
        </w:rPr>
        <w:t xml:space="preserve"> = Inflação projetada para o final do exercício</w:t>
      </w:r>
    </w:p>
    <w:p w14:paraId="34F39DC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rendimento da aplicação é recebido pelo investidor ao longo do investimento, por meio do pagamento de juros semestrais e na data de vencimento com resgate do valor de face somado ao último cupom de juros.</w:t>
      </w:r>
    </w:p>
    <w:p w14:paraId="00F866E9" w14:textId="77777777" w:rsidR="00875FB1" w:rsidRPr="007E3D0B" w:rsidRDefault="00875FB1" w:rsidP="00500AE2">
      <w:pPr>
        <w:rPr>
          <w:rFonts w:asciiTheme="minorHAnsi" w:hAnsiTheme="minorHAnsi" w:cstheme="minorHAnsi"/>
          <w:color w:val="000000" w:themeColor="text1"/>
        </w:rPr>
      </w:pPr>
    </w:p>
    <w:p w14:paraId="5490B20A" w14:textId="77777777" w:rsidR="00500AE2" w:rsidRPr="007E3D0B" w:rsidRDefault="00500AE2"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Tesouro SELIC – LFT</w:t>
      </w:r>
    </w:p>
    <w:p w14:paraId="4E0B08B8"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Tesouro SELIC – LFT possui fluxo de pagamento simples pós-fixado pela variação da taxa SELIC.</w:t>
      </w:r>
    </w:p>
    <w:p w14:paraId="185A4D0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valor projetado a ser pago pelo título, é o valor na data base, corrigido pela taxa acumulada da SELIC até o dia de compra, mais uma correção da taxa SELIC meta para dia da liquidação do título. Sendo seu cálculo:</w:t>
      </w:r>
    </w:p>
    <w:p w14:paraId="5B4A5C70" w14:textId="77777777" w:rsidR="00500AE2" w:rsidRPr="007E3D0B" w:rsidRDefault="00500AE2" w:rsidP="00500AE2">
      <w:pPr>
        <w:rPr>
          <w:rFonts w:asciiTheme="minorHAnsi" w:eastAsiaTheme="minorEastAsia" w:hAnsiTheme="minorHAnsi" w:cstheme="minorHAnsi"/>
          <w:i/>
          <w:color w:val="000000" w:themeColor="text1"/>
        </w:rPr>
      </w:pPr>
      <m:oMathPara>
        <m:oMath>
          <m:r>
            <w:rPr>
              <w:rFonts w:ascii="Cambria Math" w:hAnsi="Cambria Math" w:cstheme="minorHAnsi"/>
              <w:color w:val="000000" w:themeColor="text1"/>
            </w:rPr>
            <m:t>VNA=</m:t>
          </m:r>
          <m:sSub>
            <m:sSubPr>
              <m:ctrlPr>
                <w:rPr>
                  <w:rFonts w:ascii="Cambria Math" w:hAnsi="Cambria Math" w:cstheme="minorHAnsi"/>
                  <w:i/>
                  <w:color w:val="000000" w:themeColor="text1"/>
                </w:rPr>
              </m:ctrlPr>
            </m:sSubPr>
            <m:e>
              <m:r>
                <w:rPr>
                  <w:rFonts w:ascii="Cambria Math" w:hAnsi="Cambria Math" w:cstheme="minorHAnsi"/>
                  <w:color w:val="000000" w:themeColor="text1"/>
                </w:rPr>
                <m:t>VNA</m:t>
              </m:r>
            </m:e>
            <m:sub>
              <m:r>
                <w:rPr>
                  <w:rFonts w:ascii="Cambria Math" w:hAnsi="Cambria Math" w:cstheme="minorHAnsi"/>
                  <w:color w:val="000000" w:themeColor="text1"/>
                </w:rPr>
                <m:t>data de compra</m:t>
              </m:r>
            </m:sub>
          </m:sSub>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SELIC</m:t>
                      </m:r>
                    </m:e>
                    <m:sub>
                      <m:r>
                        <w:rPr>
                          <w:rFonts w:ascii="Cambria Math" w:hAnsi="Cambria Math" w:cstheme="minorHAnsi"/>
                          <w:color w:val="000000" w:themeColor="text1"/>
                        </w:rPr>
                        <m:t>meta</m:t>
                      </m:r>
                    </m:sub>
                  </m:sSub>
                </m:e>
              </m:d>
            </m:e>
            <m:sup>
              <m:r>
                <w:rPr>
                  <w:rFonts w:ascii="Cambria Math" w:hAnsi="Cambria Math" w:cstheme="minorHAnsi"/>
                  <w:color w:val="000000" w:themeColor="text1"/>
                </w:rPr>
                <m:t>1/252</m:t>
              </m:r>
            </m:sup>
          </m:sSup>
        </m:oMath>
      </m:oMathPara>
    </w:p>
    <w:p w14:paraId="4EC90C6E"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w:t>
      </w:r>
    </w:p>
    <w:p w14:paraId="11EEA657"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VNA</m:t>
        </m:r>
      </m:oMath>
      <w:r w:rsidRPr="007E3D0B">
        <w:rPr>
          <w:rFonts w:asciiTheme="minorHAnsi" w:eastAsiaTheme="minorEastAsia" w:hAnsiTheme="minorHAnsi" w:cstheme="minorHAnsi"/>
          <w:color w:val="000000" w:themeColor="text1"/>
        </w:rPr>
        <w:t xml:space="preserve"> = Valor Nominal Atualizado</w:t>
      </w:r>
    </w:p>
    <w:p w14:paraId="0B700AEF" w14:textId="77777777" w:rsidR="00500AE2" w:rsidRPr="007E3D0B" w:rsidRDefault="00000000" w:rsidP="00500AE2">
      <w:pPr>
        <w:spacing w:after="0"/>
        <w:ind w:left="1134"/>
        <w:rPr>
          <w:rFonts w:asciiTheme="minorHAnsi" w:eastAsiaTheme="minorEastAsia"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VNA</m:t>
            </m:r>
          </m:e>
          <m:sub>
            <m:r>
              <w:rPr>
                <w:rFonts w:ascii="Cambria Math" w:hAnsi="Cambria Math" w:cstheme="minorHAnsi"/>
                <w:color w:val="000000" w:themeColor="text1"/>
              </w:rPr>
              <m:t>data de compra</m:t>
            </m:r>
          </m:sub>
        </m:sSub>
      </m:oMath>
      <w:r w:rsidR="00500AE2" w:rsidRPr="007E3D0B">
        <w:rPr>
          <w:rFonts w:asciiTheme="minorHAnsi" w:eastAsiaTheme="minorEastAsia" w:hAnsiTheme="minorHAnsi" w:cstheme="minorHAnsi"/>
          <w:color w:val="000000" w:themeColor="text1"/>
        </w:rPr>
        <w:t xml:space="preserve"> = Valor Nominal Atualizado na data da compra</w:t>
      </w:r>
    </w:p>
    <w:p w14:paraId="6460368F" w14:textId="77777777" w:rsidR="00500AE2" w:rsidRPr="007E3D0B" w:rsidRDefault="00000000" w:rsidP="00500AE2">
      <w:pPr>
        <w:ind w:left="1134"/>
        <w:rPr>
          <w:rFonts w:asciiTheme="minorHAnsi" w:eastAsiaTheme="minorEastAsia"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SELIC</m:t>
            </m:r>
          </m:e>
          <m:sub>
            <m:r>
              <w:rPr>
                <w:rFonts w:ascii="Cambria Math" w:hAnsi="Cambria Math" w:cstheme="minorHAnsi"/>
                <w:color w:val="000000" w:themeColor="text1"/>
              </w:rPr>
              <m:t>meta</m:t>
            </m:r>
          </m:sub>
        </m:sSub>
      </m:oMath>
      <w:r w:rsidR="00500AE2" w:rsidRPr="007E3D0B">
        <w:rPr>
          <w:rFonts w:asciiTheme="minorHAnsi" w:eastAsiaTheme="minorEastAsia" w:hAnsiTheme="minorHAnsi" w:cstheme="minorHAnsi"/>
          <w:color w:val="000000" w:themeColor="text1"/>
        </w:rPr>
        <w:t xml:space="preserve"> = Inflação atualizada</w:t>
      </w:r>
    </w:p>
    <w:p w14:paraId="5A19ED94" w14:textId="77777777" w:rsidR="00875FB1" w:rsidRPr="007E3D0B" w:rsidRDefault="00875FB1" w:rsidP="00875FB1">
      <w:pPr>
        <w:rPr>
          <w:rFonts w:asciiTheme="minorHAnsi" w:hAnsiTheme="minorHAnsi" w:cstheme="minorHAnsi"/>
          <w:color w:val="000000" w:themeColor="text1"/>
        </w:rPr>
      </w:pPr>
    </w:p>
    <w:p w14:paraId="2FBC3A9B" w14:textId="77777777" w:rsidR="00500AE2" w:rsidRPr="007E3D0B" w:rsidRDefault="00500AE2"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Tesouro Prefixado – LTN</w:t>
      </w:r>
    </w:p>
    <w:p w14:paraId="63211F1A"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 LTN é um título prefixado, ou seja, sua rentabilidade é definida no momento da compra, que não faz pagamentos semestrais. A rentabilidade é calculada pela diferença entre o preço de compra do título e seu valor nominal no vencimento, R$ 1.000,00.</w:t>
      </w:r>
    </w:p>
    <w:p w14:paraId="08B31DA3"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 partir da diferença entre o preço de compra e o de venda, é possível determinar a taxa de rendimento. Essa taxa pode ser calculada de duas formas:</w:t>
      </w:r>
    </w:p>
    <w:p w14:paraId="5A84ACFC" w14:textId="77777777" w:rsidR="00500AE2" w:rsidRPr="007E3D0B" w:rsidRDefault="00500AE2" w:rsidP="00500AE2">
      <w:pPr>
        <w:rPr>
          <w:rFonts w:asciiTheme="minorHAnsi" w:eastAsiaTheme="minorEastAsia" w:hAnsiTheme="minorHAnsi" w:cstheme="minorHAnsi"/>
          <w:color w:val="000000" w:themeColor="text1"/>
        </w:rPr>
      </w:pPr>
      <m:oMathPara>
        <m:oMath>
          <m:r>
            <w:rPr>
              <w:rFonts w:ascii="Cambria Math" w:hAnsi="Cambria Math" w:cstheme="minorHAnsi"/>
              <w:color w:val="000000" w:themeColor="text1"/>
            </w:rPr>
            <m:t xml:space="preserve">Taxa Efetiva no Período= </m:t>
          </m:r>
          <m:d>
            <m:dPr>
              <m:begChr m:val="["/>
              <m:endChr m:val="]"/>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Valor de Venda</m:t>
                  </m:r>
                </m:num>
                <m:den>
                  <m:r>
                    <w:rPr>
                      <w:rFonts w:ascii="Cambria Math" w:hAnsi="Cambria Math" w:cstheme="minorHAnsi"/>
                      <w:color w:val="000000" w:themeColor="text1"/>
                    </w:rPr>
                    <m:t>Valor de Compra</m:t>
                  </m:r>
                </m:den>
              </m:f>
              <m:r>
                <w:rPr>
                  <w:rFonts w:ascii="Cambria Math" w:hAnsi="Cambria Math" w:cstheme="minorHAnsi"/>
                  <w:color w:val="000000" w:themeColor="text1"/>
                </w:rPr>
                <m:t>-1</m:t>
              </m:r>
            </m:e>
          </m:d>
          <m:r>
            <w:rPr>
              <w:rFonts w:ascii="Cambria Math" w:hAnsi="Cambria Math" w:cstheme="minorHAnsi"/>
              <w:color w:val="000000" w:themeColor="text1"/>
            </w:rPr>
            <m:t>*100</m:t>
          </m:r>
        </m:oMath>
      </m:oMathPara>
    </w:p>
    <w:p w14:paraId="2EED3749" w14:textId="77777777" w:rsidR="00500AE2" w:rsidRPr="007E3D0B" w:rsidRDefault="00500AE2" w:rsidP="00500AE2">
      <w:pPr>
        <w:rPr>
          <w:rFonts w:asciiTheme="minorHAnsi" w:eastAsiaTheme="minorEastAsia" w:hAnsiTheme="minorHAnsi" w:cstheme="minorHAnsi"/>
          <w:color w:val="000000" w:themeColor="text1"/>
        </w:rPr>
      </w:pPr>
      <w:r w:rsidRPr="007E3D0B">
        <w:rPr>
          <w:rFonts w:asciiTheme="minorHAnsi" w:eastAsiaTheme="minorEastAsia" w:hAnsiTheme="minorHAnsi" w:cstheme="minorHAnsi"/>
          <w:color w:val="000000" w:themeColor="text1"/>
        </w:rPr>
        <w:t>Onde:</w:t>
      </w:r>
    </w:p>
    <w:p w14:paraId="5D6EA909"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Taxa Efetiva no Período</m:t>
        </m:r>
      </m:oMath>
      <w:r w:rsidRPr="007E3D0B">
        <w:rPr>
          <w:rFonts w:asciiTheme="minorHAnsi" w:eastAsiaTheme="minorEastAsia" w:hAnsiTheme="minorHAnsi" w:cstheme="minorHAnsi"/>
          <w:color w:val="000000" w:themeColor="text1"/>
        </w:rPr>
        <w:t xml:space="preserve"> = Taxa negociada no momento da compra</w:t>
      </w:r>
    </w:p>
    <w:p w14:paraId="79579CFA"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Valor de Venda</m:t>
        </m:r>
      </m:oMath>
      <w:r w:rsidRPr="007E3D0B">
        <w:rPr>
          <w:rFonts w:asciiTheme="minorHAnsi" w:eastAsiaTheme="minorEastAsia" w:hAnsiTheme="minorHAnsi" w:cstheme="minorHAnsi"/>
          <w:color w:val="000000" w:themeColor="text1"/>
        </w:rPr>
        <w:t xml:space="preserve"> = Valor de negociação do Título Público na data final</w:t>
      </w:r>
    </w:p>
    <w:p w14:paraId="312E1370" w14:textId="77777777" w:rsidR="00500AE2" w:rsidRPr="007E3D0B" w:rsidRDefault="00500AE2" w:rsidP="00500AE2">
      <w:pPr>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w:lastRenderedPageBreak/>
          <m:t>Valor de Compra</m:t>
        </m:r>
      </m:oMath>
      <w:r w:rsidRPr="007E3D0B">
        <w:rPr>
          <w:rFonts w:asciiTheme="minorHAnsi" w:eastAsiaTheme="minorEastAsia" w:hAnsiTheme="minorHAnsi" w:cstheme="minorHAnsi"/>
          <w:color w:val="000000" w:themeColor="text1"/>
        </w:rPr>
        <w:t xml:space="preserve"> = Valor de negociação do Título na aquisição</w:t>
      </w:r>
    </w:p>
    <w:p w14:paraId="4FAC89D3"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Ou, tendo como base um ano de 252 dias úteis:</w:t>
      </w:r>
    </w:p>
    <w:p w14:paraId="29305133" w14:textId="77777777" w:rsidR="00500AE2" w:rsidRPr="007E3D0B" w:rsidRDefault="00500AE2" w:rsidP="00500AE2">
      <w:pPr>
        <w:rPr>
          <w:rFonts w:asciiTheme="minorHAnsi" w:eastAsiaTheme="minorEastAsia" w:hAnsiTheme="minorHAnsi" w:cstheme="minorHAnsi"/>
          <w:color w:val="000000" w:themeColor="text1"/>
        </w:rPr>
      </w:pPr>
      <m:oMathPara>
        <m:oMath>
          <m:r>
            <w:rPr>
              <w:rFonts w:ascii="Cambria Math" w:hAnsi="Cambria Math" w:cstheme="minorHAnsi"/>
              <w:color w:val="000000" w:themeColor="text1"/>
            </w:rPr>
            <m:t xml:space="preserve">Taxa Efetiva no Período= </m:t>
          </m:r>
          <m:d>
            <m:dPr>
              <m:begChr m:val="["/>
              <m:endChr m:val="]"/>
              <m:ctrlPr>
                <w:rPr>
                  <w:rFonts w:ascii="Cambria Math" w:hAnsi="Cambria Math" w:cstheme="minorHAnsi"/>
                  <w:i/>
                  <w:color w:val="000000" w:themeColor="text1"/>
                </w:rPr>
              </m:ctrlPr>
            </m:dPr>
            <m:e>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Valor de Venda</m:t>
                          </m:r>
                        </m:num>
                        <m:den>
                          <m:r>
                            <w:rPr>
                              <w:rFonts w:ascii="Cambria Math" w:hAnsi="Cambria Math" w:cstheme="minorHAnsi"/>
                              <w:color w:val="000000" w:themeColor="text1"/>
                            </w:rPr>
                            <m:t>Valor de Compra</m:t>
                          </m:r>
                        </m:den>
                      </m:f>
                    </m:e>
                  </m:d>
                </m:e>
                <m:sup>
                  <m:f>
                    <m:fPr>
                      <m:ctrlPr>
                        <w:rPr>
                          <w:rFonts w:ascii="Cambria Math" w:hAnsi="Cambria Math" w:cstheme="minorHAnsi"/>
                          <w:i/>
                          <w:color w:val="000000" w:themeColor="text1"/>
                        </w:rPr>
                      </m:ctrlPr>
                    </m:fPr>
                    <m:num>
                      <m:r>
                        <w:rPr>
                          <w:rFonts w:ascii="Cambria Math" w:hAnsi="Cambria Math" w:cstheme="minorHAnsi"/>
                          <w:color w:val="000000" w:themeColor="text1"/>
                        </w:rPr>
                        <m:t>252</m:t>
                      </m:r>
                    </m:num>
                    <m:den>
                      <m:r>
                        <w:rPr>
                          <w:rFonts w:ascii="Cambria Math" w:hAnsi="Cambria Math" w:cstheme="minorHAnsi"/>
                          <w:color w:val="000000" w:themeColor="text1"/>
                        </w:rPr>
                        <m:t>dias úteis no período</m:t>
                      </m:r>
                    </m:den>
                  </m:f>
                </m:sup>
              </m:sSup>
              <m:r>
                <w:rPr>
                  <w:rFonts w:ascii="Cambria Math" w:hAnsi="Cambria Math" w:cstheme="minorHAnsi"/>
                  <w:color w:val="000000" w:themeColor="text1"/>
                </w:rPr>
                <m:t>-1</m:t>
              </m:r>
            </m:e>
          </m:d>
          <m:r>
            <w:rPr>
              <w:rFonts w:ascii="Cambria Math" w:hAnsi="Cambria Math" w:cstheme="minorHAnsi"/>
              <w:color w:val="000000" w:themeColor="text1"/>
            </w:rPr>
            <m:t>*100</m:t>
          </m:r>
        </m:oMath>
      </m:oMathPara>
    </w:p>
    <w:p w14:paraId="3DA7DA6F"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w:t>
      </w:r>
    </w:p>
    <w:p w14:paraId="6B73A40C"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Taxa Efetiva no Período</m:t>
        </m:r>
      </m:oMath>
      <w:r w:rsidRPr="007E3D0B">
        <w:rPr>
          <w:rFonts w:asciiTheme="minorHAnsi" w:eastAsiaTheme="minorEastAsia" w:hAnsiTheme="minorHAnsi" w:cstheme="minorHAnsi"/>
          <w:color w:val="000000" w:themeColor="text1"/>
        </w:rPr>
        <w:t xml:space="preserve"> = Taxa negociada no momento da compra</w:t>
      </w:r>
    </w:p>
    <w:p w14:paraId="4E694463"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Valor de Venda</m:t>
        </m:r>
      </m:oMath>
      <w:r w:rsidRPr="007E3D0B">
        <w:rPr>
          <w:rFonts w:asciiTheme="minorHAnsi" w:eastAsiaTheme="minorEastAsia" w:hAnsiTheme="minorHAnsi" w:cstheme="minorHAnsi"/>
          <w:color w:val="000000" w:themeColor="text1"/>
        </w:rPr>
        <w:t xml:space="preserve"> = Valor de negociação do Título Público na data final</w:t>
      </w:r>
    </w:p>
    <w:p w14:paraId="377176B0" w14:textId="77777777" w:rsidR="00500AE2" w:rsidRPr="007E3D0B" w:rsidRDefault="00500AE2" w:rsidP="00500AE2">
      <w:pPr>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Valor de Compra</m:t>
        </m:r>
      </m:oMath>
      <w:r w:rsidRPr="007E3D0B">
        <w:rPr>
          <w:rFonts w:asciiTheme="minorHAnsi" w:eastAsiaTheme="minorEastAsia" w:hAnsiTheme="minorHAnsi" w:cstheme="minorHAnsi"/>
          <w:color w:val="000000" w:themeColor="text1"/>
        </w:rPr>
        <w:t xml:space="preserve"> = Valor de negociação do Título na aquisição</w:t>
      </w:r>
    </w:p>
    <w:p w14:paraId="16E306EC" w14:textId="77777777" w:rsidR="00500AE2" w:rsidRPr="007E3D0B" w:rsidRDefault="00500AE2" w:rsidP="00500AE2">
      <w:pPr>
        <w:rPr>
          <w:rFonts w:asciiTheme="minorHAnsi" w:hAnsiTheme="minorHAnsi" w:cstheme="minorHAnsi"/>
          <w:color w:val="000000" w:themeColor="text1"/>
        </w:rPr>
      </w:pPr>
    </w:p>
    <w:p w14:paraId="1E8D3C11" w14:textId="77777777" w:rsidR="00500AE2" w:rsidRPr="007E3D0B" w:rsidRDefault="00500AE2"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Tesouro Prefixado com Juros Semestrais – NTN-F</w:t>
      </w:r>
    </w:p>
    <w:p w14:paraId="2B4611B9"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Na NTN-F ocorre uma situação semelhante a NTN-B, com pagamentos semestrais de juros só que com a taxa pré-fixada e pagamento do último cupom ocorre no vencimento do título, juntamente com o resgate do valor de face.</w:t>
      </w:r>
    </w:p>
    <w:p w14:paraId="3A22ACDD"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 rentabilidade do Tesouro Pré-fixado com Juros Semestrais pode ser calculada segundo a equação:</w:t>
      </w:r>
    </w:p>
    <w:p w14:paraId="5F4E7F23" w14:textId="77777777" w:rsidR="00500AE2" w:rsidRPr="007E3D0B" w:rsidRDefault="00500AE2" w:rsidP="00500AE2">
      <w:pPr>
        <w:rPr>
          <w:rFonts w:asciiTheme="minorHAnsi" w:eastAsiaTheme="minorEastAsia" w:hAnsiTheme="minorHAnsi" w:cstheme="minorHAnsi"/>
          <w:color w:val="000000" w:themeColor="text1"/>
        </w:rPr>
      </w:pPr>
      <m:oMathPara>
        <m:oMath>
          <m:r>
            <w:rPr>
              <w:rFonts w:ascii="Cambria Math" w:hAnsi="Cambria Math" w:cstheme="minorHAnsi"/>
              <w:color w:val="000000" w:themeColor="text1"/>
            </w:rPr>
            <m:t xml:space="preserve">Preço= </m:t>
          </m:r>
          <m:nary>
            <m:naryPr>
              <m:chr m:val="∑"/>
              <m:limLoc m:val="undOvr"/>
              <m:ctrlPr>
                <w:rPr>
                  <w:rFonts w:ascii="Cambria Math" w:hAnsi="Cambria Math" w:cstheme="minorHAnsi"/>
                  <w:i/>
                  <w:color w:val="000000" w:themeColor="text1"/>
                </w:rPr>
              </m:ctrlPr>
            </m:naryPr>
            <m:sub>
              <m:r>
                <w:rPr>
                  <w:rFonts w:ascii="Cambria Math" w:hAnsi="Cambria Math" w:cstheme="minorHAnsi"/>
                  <w:color w:val="000000" w:themeColor="text1"/>
                </w:rPr>
                <m:t>i=1</m:t>
              </m:r>
            </m:sub>
            <m:sup>
              <m:r>
                <w:rPr>
                  <w:rFonts w:ascii="Cambria Math" w:hAnsi="Cambria Math" w:cstheme="minorHAnsi"/>
                  <w:color w:val="000000" w:themeColor="text1"/>
                </w:rPr>
                <m:t>n</m:t>
              </m:r>
            </m:sup>
            <m:e>
              <m:r>
                <w:rPr>
                  <w:rFonts w:ascii="Cambria Math" w:hAnsi="Cambria Math" w:cstheme="minorHAnsi"/>
                  <w:color w:val="000000" w:themeColor="text1"/>
                </w:rPr>
                <m:t xml:space="preserve">1.000* </m:t>
              </m:r>
              <m:d>
                <m:dPr>
                  <m:begChr m:val="["/>
                  <m:endChr m:val="]"/>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1,10</m:t>
                              </m:r>
                            </m:e>
                          </m:d>
                        </m:e>
                        <m:sup>
                          <m:r>
                            <w:rPr>
                              <w:rFonts w:ascii="Cambria Math" w:hAnsi="Cambria Math" w:cstheme="minorHAnsi"/>
                              <w:color w:val="000000" w:themeColor="text1"/>
                            </w:rPr>
                            <m:t>0,5</m:t>
                          </m:r>
                        </m:sup>
                      </m:sSup>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(1+TIR)</m:t>
                          </m:r>
                        </m:e>
                        <m:sup>
                          <m:f>
                            <m:fPr>
                              <m:ctrlPr>
                                <w:rPr>
                                  <w:rFonts w:ascii="Cambria Math" w:hAnsi="Cambria Math" w:cstheme="minorHAnsi"/>
                                  <w:i/>
                                  <w:color w:val="000000" w:themeColor="text1"/>
                                </w:rPr>
                              </m:ctrlPr>
                            </m:fPr>
                            <m:num>
                              <m:r>
                                <w:rPr>
                                  <w:rFonts w:ascii="Cambria Math" w:hAnsi="Cambria Math" w:cstheme="minorHAnsi"/>
                                  <w:color w:val="000000" w:themeColor="text1"/>
                                </w:rPr>
                                <m:t>DUn</m:t>
                              </m:r>
                            </m:num>
                            <m:den>
                              <m:r>
                                <w:rPr>
                                  <w:rFonts w:ascii="Cambria Math" w:hAnsi="Cambria Math" w:cstheme="minorHAnsi"/>
                                  <w:color w:val="000000" w:themeColor="text1"/>
                                </w:rPr>
                                <m:t>252</m:t>
                              </m:r>
                            </m:den>
                          </m:f>
                        </m:sup>
                      </m:sSup>
                    </m:den>
                  </m:f>
                </m:e>
              </m:d>
            </m:e>
          </m:nary>
          <m:r>
            <w:rPr>
              <w:rFonts w:ascii="Cambria Math" w:hAnsi="Cambria Math" w:cstheme="minorHAnsi"/>
              <w:color w:val="000000" w:themeColor="text1"/>
            </w:rPr>
            <m:t xml:space="preserve">+1.000* </m:t>
          </m:r>
          <m:d>
            <m:dPr>
              <m:begChr m:val="["/>
              <m:endChr m:val="]"/>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1</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(1+TIR)</m:t>
                      </m:r>
                    </m:e>
                    <m:sup>
                      <m:f>
                        <m:fPr>
                          <m:ctrlPr>
                            <w:rPr>
                              <w:rFonts w:ascii="Cambria Math" w:hAnsi="Cambria Math" w:cstheme="minorHAnsi"/>
                              <w:i/>
                              <w:color w:val="000000" w:themeColor="text1"/>
                            </w:rPr>
                          </m:ctrlPr>
                        </m:fPr>
                        <m:num>
                          <m:r>
                            <w:rPr>
                              <w:rFonts w:ascii="Cambria Math" w:hAnsi="Cambria Math" w:cstheme="minorHAnsi"/>
                              <w:color w:val="000000" w:themeColor="text1"/>
                            </w:rPr>
                            <m:t>DUn</m:t>
                          </m:r>
                        </m:num>
                        <m:den>
                          <m:r>
                            <w:rPr>
                              <w:rFonts w:ascii="Cambria Math" w:hAnsi="Cambria Math" w:cstheme="minorHAnsi"/>
                              <w:color w:val="000000" w:themeColor="text1"/>
                            </w:rPr>
                            <m:t>252</m:t>
                          </m:r>
                        </m:den>
                      </m:f>
                    </m:sup>
                  </m:sSup>
                </m:den>
              </m:f>
            </m:e>
          </m:d>
        </m:oMath>
      </m:oMathPara>
    </w:p>
    <w:p w14:paraId="61704E49"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Em que </w:t>
      </w:r>
      <w:proofErr w:type="spellStart"/>
      <w:r w:rsidRPr="007E3D0B">
        <w:rPr>
          <w:rFonts w:asciiTheme="minorHAnsi" w:hAnsiTheme="minorHAnsi" w:cstheme="minorHAnsi"/>
          <w:i/>
          <w:iCs/>
          <w:color w:val="000000" w:themeColor="text1"/>
        </w:rPr>
        <w:t>DUn</w:t>
      </w:r>
      <w:proofErr w:type="spellEnd"/>
      <w:r w:rsidRPr="007E3D0B">
        <w:rPr>
          <w:rFonts w:asciiTheme="minorHAnsi" w:hAnsiTheme="minorHAnsi" w:cstheme="minorHAnsi"/>
          <w:color w:val="000000" w:themeColor="text1"/>
        </w:rPr>
        <w:t xml:space="preserve"> é o número de dias úteis do período e TIR é a rentabilidade anual do título.</w:t>
      </w:r>
    </w:p>
    <w:p w14:paraId="2C7827EE" w14:textId="77777777" w:rsidR="006C67E4" w:rsidRPr="007E3D0B" w:rsidRDefault="006C67E4" w:rsidP="00500AE2">
      <w:pPr>
        <w:rPr>
          <w:rFonts w:asciiTheme="minorHAnsi" w:hAnsiTheme="minorHAnsi" w:cstheme="minorHAnsi"/>
          <w:color w:val="000000" w:themeColor="text1"/>
        </w:rPr>
      </w:pPr>
    </w:p>
    <w:p w14:paraId="18A08E09" w14:textId="77777777" w:rsidR="00500AE2" w:rsidRPr="007E3D0B" w:rsidRDefault="00500AE2"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Tesouro IGPM com Juros Semestrais – NTN-C</w:t>
      </w:r>
    </w:p>
    <w:p w14:paraId="6275A810"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 NTN-C tem funcionamento parecido com NTN-B, com a diferença no indexador, pois utiliza o IGP-M ao invés de IPCA. Atualmente, as NTN-C não são ofertadas no Tesouro Direto sendo apenas recomprado pelo Tesouro Nacional.</w:t>
      </w:r>
    </w:p>
    <w:p w14:paraId="56BD61E0"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VNA desse título pode ser calculado pela equação:</w:t>
      </w:r>
    </w:p>
    <w:p w14:paraId="3A60B614" w14:textId="77777777" w:rsidR="00500AE2" w:rsidRPr="007E3D0B" w:rsidRDefault="00500AE2" w:rsidP="00500AE2">
      <w:pPr>
        <w:rPr>
          <w:rFonts w:asciiTheme="minorHAnsi" w:eastAsiaTheme="minorEastAsia" w:hAnsiTheme="minorHAnsi" w:cstheme="minorHAnsi"/>
          <w:i/>
          <w:color w:val="000000" w:themeColor="text1"/>
        </w:rPr>
      </w:pPr>
      <m:oMathPara>
        <m:oMath>
          <m:r>
            <w:rPr>
              <w:rFonts w:ascii="Cambria Math" w:hAnsi="Cambria Math" w:cstheme="minorHAnsi"/>
              <w:color w:val="000000" w:themeColor="text1"/>
            </w:rPr>
            <m:t>VNA=</m:t>
          </m:r>
          <m:sSub>
            <m:sSubPr>
              <m:ctrlPr>
                <w:rPr>
                  <w:rFonts w:ascii="Cambria Math" w:hAnsi="Cambria Math" w:cstheme="minorHAnsi"/>
                  <w:i/>
                  <w:color w:val="000000" w:themeColor="text1"/>
                </w:rPr>
              </m:ctrlPr>
            </m:sSubPr>
            <m:e>
              <m:r>
                <w:rPr>
                  <w:rFonts w:ascii="Cambria Math" w:hAnsi="Cambria Math" w:cstheme="minorHAnsi"/>
                  <w:color w:val="000000" w:themeColor="text1"/>
                </w:rPr>
                <m:t>VNA</m:t>
              </m:r>
            </m:e>
            <m:sub>
              <m:r>
                <w:rPr>
                  <w:rFonts w:ascii="Cambria Math" w:hAnsi="Cambria Math" w:cstheme="minorHAnsi"/>
                  <w:color w:val="000000" w:themeColor="text1"/>
                </w:rPr>
                <m:t>data de compra</m:t>
              </m:r>
            </m:sub>
          </m:sSub>
          <m:r>
            <w:rPr>
              <w:rFonts w:ascii="Cambria Math" w:hAnsi="Cambria Math" w:cstheme="minorHAnsi"/>
              <w:color w:val="000000" w:themeColor="text1"/>
            </w:rPr>
            <m:t>*</m:t>
          </m:r>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IGPM</m:t>
                      </m:r>
                    </m:e>
                    <m:sub>
                      <m:r>
                        <w:rPr>
                          <w:rFonts w:ascii="Cambria Math" w:hAnsi="Cambria Math" w:cstheme="minorHAnsi"/>
                          <w:color w:val="000000" w:themeColor="text1"/>
                        </w:rPr>
                        <m:t>projetado</m:t>
                      </m:r>
                    </m:sub>
                  </m:sSub>
                </m:e>
              </m:d>
            </m:e>
            <m:sup>
              <m:r>
                <w:rPr>
                  <w:rFonts w:ascii="Cambria Math" w:hAnsi="Cambria Math" w:cstheme="minorHAnsi"/>
                  <w:color w:val="000000" w:themeColor="text1"/>
                </w:rPr>
                <m:t>N1/N2</m:t>
              </m:r>
            </m:sup>
          </m:sSup>
        </m:oMath>
      </m:oMathPara>
    </w:p>
    <w:p w14:paraId="2B35DFB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 N1 representa o número de dias corridos entre data de liquidação e primeiro do mês atual e N2 sendo o número de dias corridos entre o dia primeiro do mês seguinte e o primeiro mês atual.</w:t>
      </w:r>
    </w:p>
    <w:p w14:paraId="4CD4C0D4"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Como metodologia final de apuração para os Títulos Públicos que apresentam o valor nominal atualizado, finaliza-se a apuração nos seguintes passos:</w:t>
      </w:r>
    </w:p>
    <w:p w14:paraId="18F67230"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(i) identificação da cotação:</w:t>
      </w:r>
    </w:p>
    <w:p w14:paraId="418767DD" w14:textId="77777777" w:rsidR="00500AE2" w:rsidRPr="007E3D0B" w:rsidRDefault="00500AE2" w:rsidP="00500AE2">
      <w:pPr>
        <w:rPr>
          <w:rFonts w:asciiTheme="minorHAnsi" w:eastAsiaTheme="minorEastAsia" w:hAnsiTheme="minorHAnsi" w:cstheme="minorHAnsi"/>
          <w:color w:val="000000" w:themeColor="text1"/>
        </w:rPr>
      </w:pPr>
      <m:oMathPara>
        <m:oMath>
          <m:r>
            <w:rPr>
              <w:rFonts w:ascii="Cambria Math" w:hAnsi="Cambria Math" w:cstheme="minorHAnsi"/>
              <w:color w:val="000000" w:themeColor="text1"/>
            </w:rPr>
            <m:t xml:space="preserve">Cotação= </m:t>
          </m:r>
          <m:f>
            <m:fPr>
              <m:ctrlPr>
                <w:rPr>
                  <w:rFonts w:ascii="Cambria Math" w:hAnsi="Cambria Math" w:cstheme="minorHAnsi"/>
                  <w:i/>
                  <w:color w:val="000000" w:themeColor="text1"/>
                </w:rPr>
              </m:ctrlPr>
            </m:fPr>
            <m:num>
              <m:r>
                <w:rPr>
                  <w:rFonts w:ascii="Cambria Math" w:hAnsi="Cambria Math" w:cstheme="minorHAnsi"/>
                  <w:color w:val="000000" w:themeColor="text1"/>
                </w:rPr>
                <m:t>100</m:t>
              </m:r>
            </m:num>
            <m:den>
              <m:sSup>
                <m:sSupPr>
                  <m:ctrlPr>
                    <w:rPr>
                      <w:rFonts w:ascii="Cambria Math" w:hAnsi="Cambria Math" w:cstheme="minorHAnsi"/>
                      <w:i/>
                      <w:color w:val="000000" w:themeColor="text1"/>
                    </w:rPr>
                  </m:ctrlPr>
                </m:sSupPr>
                <m:e>
                  <m:r>
                    <w:rPr>
                      <w:rFonts w:ascii="Cambria Math" w:hAnsi="Cambria Math" w:cstheme="minorHAnsi"/>
                      <w:color w:val="000000" w:themeColor="text1"/>
                    </w:rPr>
                    <m:t>(1+Taxa)</m:t>
                  </m:r>
                </m:e>
                <m:sup>
                  <m:f>
                    <m:fPr>
                      <m:ctrlPr>
                        <w:rPr>
                          <w:rFonts w:ascii="Cambria Math" w:hAnsi="Cambria Math" w:cstheme="minorHAnsi"/>
                          <w:i/>
                          <w:color w:val="000000" w:themeColor="text1"/>
                        </w:rPr>
                      </m:ctrlPr>
                    </m:fPr>
                    <m:num>
                      <m:r>
                        <w:rPr>
                          <w:rFonts w:ascii="Cambria Math" w:hAnsi="Cambria Math" w:cstheme="minorHAnsi"/>
                          <w:color w:val="000000" w:themeColor="text1"/>
                        </w:rPr>
                        <m:t>DU</m:t>
                      </m:r>
                    </m:num>
                    <m:den>
                      <m:r>
                        <w:rPr>
                          <w:rFonts w:ascii="Cambria Math" w:hAnsi="Cambria Math" w:cstheme="minorHAnsi"/>
                          <w:color w:val="000000" w:themeColor="text1"/>
                        </w:rPr>
                        <m:t>252</m:t>
                      </m:r>
                    </m:den>
                  </m:f>
                </m:sup>
              </m:sSup>
            </m:den>
          </m:f>
        </m:oMath>
      </m:oMathPara>
    </w:p>
    <w:p w14:paraId="02A86D9E" w14:textId="77777777" w:rsidR="00500AE2" w:rsidRPr="007E3D0B" w:rsidRDefault="00500AE2" w:rsidP="00500AE2">
      <w:pPr>
        <w:rPr>
          <w:rFonts w:asciiTheme="minorHAnsi" w:eastAsiaTheme="minorEastAsia" w:hAnsiTheme="minorHAnsi" w:cstheme="minorHAnsi"/>
          <w:color w:val="000000" w:themeColor="text1"/>
        </w:rPr>
      </w:pPr>
      <w:r w:rsidRPr="007E3D0B">
        <w:rPr>
          <w:rFonts w:asciiTheme="minorHAnsi" w:eastAsiaTheme="minorEastAsia" w:hAnsiTheme="minorHAnsi" w:cstheme="minorHAnsi"/>
          <w:color w:val="000000" w:themeColor="text1"/>
        </w:rPr>
        <w:t>Onde:</w:t>
      </w:r>
    </w:p>
    <w:p w14:paraId="12820232"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Cotação</m:t>
        </m:r>
      </m:oMath>
      <w:r w:rsidRPr="007E3D0B">
        <w:rPr>
          <w:rFonts w:asciiTheme="minorHAnsi" w:eastAsiaTheme="minorEastAsia" w:hAnsiTheme="minorHAnsi" w:cstheme="minorHAnsi"/>
          <w:color w:val="000000" w:themeColor="text1"/>
        </w:rPr>
        <w:t xml:space="preserve"> = é o valor unitário apresentado em um dia</w:t>
      </w:r>
    </w:p>
    <w:p w14:paraId="209AE9B2" w14:textId="77777777" w:rsidR="00500AE2" w:rsidRPr="007E3D0B" w:rsidRDefault="00500AE2" w:rsidP="00500AE2">
      <w:pPr>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Taxa</m:t>
        </m:r>
      </m:oMath>
      <w:r w:rsidRPr="007E3D0B">
        <w:rPr>
          <w:rFonts w:asciiTheme="minorHAnsi" w:eastAsiaTheme="minorEastAsia" w:hAnsiTheme="minorHAnsi" w:cstheme="minorHAnsi"/>
          <w:color w:val="000000" w:themeColor="text1"/>
        </w:rPr>
        <w:t xml:space="preserve"> = taxa de negociação ou compra o Título Público Federal</w:t>
      </w:r>
    </w:p>
    <w:p w14:paraId="72041E9D"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w:t>
      </w:r>
      <w:proofErr w:type="spellStart"/>
      <w:r w:rsidRPr="007E3D0B">
        <w:rPr>
          <w:rFonts w:asciiTheme="minorHAnsi" w:hAnsiTheme="minorHAnsi" w:cstheme="minorHAnsi"/>
          <w:color w:val="000000" w:themeColor="text1"/>
        </w:rPr>
        <w:t>ii</w:t>
      </w:r>
      <w:proofErr w:type="spellEnd"/>
      <w:r w:rsidRPr="007E3D0B">
        <w:rPr>
          <w:rFonts w:asciiTheme="minorHAnsi" w:hAnsiTheme="minorHAnsi" w:cstheme="minorHAnsi"/>
          <w:color w:val="000000" w:themeColor="text1"/>
        </w:rPr>
        <w:t>) identificação do preço atual:</w:t>
      </w:r>
    </w:p>
    <w:p w14:paraId="23175BC8" w14:textId="77777777" w:rsidR="00500AE2" w:rsidRPr="007E3D0B" w:rsidRDefault="00500AE2" w:rsidP="00500AE2">
      <w:pPr>
        <w:rPr>
          <w:rFonts w:asciiTheme="minorHAnsi" w:eastAsiaTheme="minorEastAsia" w:hAnsiTheme="minorHAnsi" w:cstheme="minorHAnsi"/>
          <w:color w:val="000000" w:themeColor="text1"/>
        </w:rPr>
      </w:pPr>
      <m:oMathPara>
        <m:oMathParaPr>
          <m:jc m:val="center"/>
        </m:oMathParaPr>
        <m:oMath>
          <m:r>
            <w:rPr>
              <w:rFonts w:ascii="Cambria Math" w:eastAsiaTheme="minorEastAsia" w:hAnsi="Cambria Math" w:cstheme="minorHAnsi"/>
              <w:color w:val="000000" w:themeColor="text1"/>
            </w:rPr>
            <m:t xml:space="preserve">Preço= VNA* </m:t>
          </m:r>
          <m:d>
            <m:dPr>
              <m:begChr m:val="["/>
              <m:endChr m:val="]"/>
              <m:ctrlPr>
                <w:rPr>
                  <w:rFonts w:ascii="Cambria Math" w:eastAsiaTheme="minorEastAsia" w:hAnsi="Cambria Math" w:cstheme="minorHAnsi"/>
                  <w:i/>
                  <w:color w:val="000000" w:themeColor="text1"/>
                </w:rPr>
              </m:ctrlPr>
            </m:dPr>
            <m:e>
              <m:f>
                <m:fPr>
                  <m:ctrlPr>
                    <w:rPr>
                      <w:rFonts w:ascii="Cambria Math" w:eastAsiaTheme="minorEastAsia" w:hAnsi="Cambria Math" w:cstheme="minorHAnsi"/>
                      <w:i/>
                      <w:color w:val="000000" w:themeColor="text1"/>
                    </w:rPr>
                  </m:ctrlPr>
                </m:fPr>
                <m:num>
                  <m:r>
                    <w:rPr>
                      <w:rFonts w:ascii="Cambria Math" w:eastAsiaTheme="minorEastAsia" w:hAnsi="Cambria Math" w:cstheme="minorHAnsi"/>
                      <w:color w:val="000000" w:themeColor="text1"/>
                    </w:rPr>
                    <m:t>Cotação</m:t>
                  </m:r>
                </m:num>
                <m:den>
                  <m:r>
                    <w:rPr>
                      <w:rFonts w:ascii="Cambria Math" w:eastAsiaTheme="minorEastAsia" w:hAnsi="Cambria Math" w:cstheme="minorHAnsi"/>
                      <w:color w:val="000000" w:themeColor="text1"/>
                    </w:rPr>
                    <m:t>100</m:t>
                  </m:r>
                </m:den>
              </m:f>
            </m:e>
          </m:d>
        </m:oMath>
      </m:oMathPara>
    </w:p>
    <w:p w14:paraId="5228CD1D" w14:textId="77777777" w:rsidR="00500AE2" w:rsidRPr="007E3D0B" w:rsidRDefault="00500AE2" w:rsidP="00500AE2">
      <w:pPr>
        <w:rPr>
          <w:rFonts w:asciiTheme="minorHAnsi" w:eastAsiaTheme="minorEastAsia" w:hAnsiTheme="minorHAnsi" w:cstheme="minorHAnsi"/>
          <w:color w:val="000000" w:themeColor="text1"/>
        </w:rPr>
      </w:pPr>
      <w:r w:rsidRPr="007E3D0B">
        <w:rPr>
          <w:rFonts w:asciiTheme="minorHAnsi" w:eastAsiaTheme="minorEastAsia" w:hAnsiTheme="minorHAnsi" w:cstheme="minorHAnsi"/>
          <w:color w:val="000000" w:themeColor="text1"/>
        </w:rPr>
        <w:t>Onde:</w:t>
      </w:r>
    </w:p>
    <w:p w14:paraId="0251B9FD"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Preço</m:t>
        </m:r>
      </m:oMath>
      <w:r w:rsidRPr="007E3D0B">
        <w:rPr>
          <w:rFonts w:asciiTheme="minorHAnsi" w:eastAsiaTheme="minorEastAsia" w:hAnsiTheme="minorHAnsi" w:cstheme="minorHAnsi"/>
          <w:color w:val="000000" w:themeColor="text1"/>
        </w:rPr>
        <w:t xml:space="preserve"> = valor unitário do Título Público Federal</w:t>
      </w:r>
    </w:p>
    <w:p w14:paraId="1458DA55" w14:textId="77777777" w:rsidR="00500AE2" w:rsidRPr="007E3D0B" w:rsidRDefault="00500AE2" w:rsidP="00500AE2">
      <w:pPr>
        <w:spacing w:after="0"/>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VNA</m:t>
        </m:r>
      </m:oMath>
      <w:r w:rsidRPr="007E3D0B">
        <w:rPr>
          <w:rFonts w:asciiTheme="minorHAnsi" w:eastAsiaTheme="minorEastAsia" w:hAnsiTheme="minorHAnsi" w:cstheme="minorHAnsi"/>
          <w:color w:val="000000" w:themeColor="text1"/>
        </w:rPr>
        <w:t xml:space="preserve"> = Valor Nominal Atualizado</w:t>
      </w:r>
    </w:p>
    <w:p w14:paraId="2FBCA3EF" w14:textId="77777777" w:rsidR="00500AE2" w:rsidRPr="007E3D0B" w:rsidRDefault="00500AE2" w:rsidP="00500AE2">
      <w:pPr>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Cotação</m:t>
        </m:r>
      </m:oMath>
      <w:r w:rsidRPr="007E3D0B">
        <w:rPr>
          <w:rFonts w:asciiTheme="minorHAnsi" w:eastAsiaTheme="minorEastAsia" w:hAnsiTheme="minorHAnsi" w:cstheme="minorHAnsi"/>
          <w:color w:val="000000" w:themeColor="text1"/>
        </w:rPr>
        <w:t xml:space="preserve"> = é o valor unitário apresentado em um dia</w:t>
      </w:r>
    </w:p>
    <w:p w14:paraId="72E9C304" w14:textId="77777777" w:rsidR="006C67E4" w:rsidRPr="007E3D0B" w:rsidRDefault="006C67E4" w:rsidP="006C67E4">
      <w:pPr>
        <w:rPr>
          <w:rFonts w:asciiTheme="minorHAnsi" w:hAnsiTheme="minorHAnsi" w:cstheme="minorHAnsi"/>
          <w:color w:val="000000" w:themeColor="text1"/>
        </w:rPr>
      </w:pPr>
    </w:p>
    <w:p w14:paraId="0CEB5D54" w14:textId="77777777" w:rsidR="00500AE2" w:rsidRPr="007E3D0B" w:rsidRDefault="00875FB1" w:rsidP="00A468C9">
      <w:pPr>
        <w:pStyle w:val="Ttulo3"/>
        <w:rPr>
          <w:rFonts w:asciiTheme="minorHAnsi" w:hAnsiTheme="minorHAnsi" w:cstheme="minorHAnsi"/>
          <w:color w:val="000000" w:themeColor="text1"/>
          <w:sz w:val="22"/>
          <w:szCs w:val="22"/>
        </w:rPr>
      </w:pPr>
      <w:bookmarkStart w:id="123" w:name="_Toc118105163"/>
      <w:r w:rsidRPr="007E3D0B">
        <w:rPr>
          <w:rFonts w:asciiTheme="minorHAnsi" w:hAnsiTheme="minorHAnsi" w:cstheme="minorHAnsi"/>
          <w:color w:val="000000" w:themeColor="text1"/>
          <w:sz w:val="22"/>
          <w:szCs w:val="22"/>
        </w:rPr>
        <w:t>Fundos de Investimentos</w:t>
      </w:r>
      <w:bookmarkEnd w:id="123"/>
    </w:p>
    <w:p w14:paraId="3C68102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 </w:t>
      </w:r>
      <w:r w:rsidR="00CA31FA" w:rsidRPr="007E3D0B">
        <w:rPr>
          <w:rFonts w:asciiTheme="minorHAnsi" w:hAnsiTheme="minorHAnsi" w:cstheme="minorHAnsi"/>
          <w:color w:val="000000" w:themeColor="text1"/>
        </w:rPr>
        <w:t xml:space="preserve">Resolução </w:t>
      </w:r>
      <w:r w:rsidRPr="007E3D0B">
        <w:rPr>
          <w:rFonts w:asciiTheme="minorHAnsi" w:hAnsiTheme="minorHAnsi" w:cstheme="minorHAnsi"/>
          <w:color w:val="000000" w:themeColor="text1"/>
        </w:rPr>
        <w:t xml:space="preserve">CVM </w:t>
      </w:r>
      <w:r w:rsidR="00CA31FA" w:rsidRPr="007E3D0B">
        <w:rPr>
          <w:rFonts w:asciiTheme="minorHAnsi" w:hAnsiTheme="minorHAnsi" w:cstheme="minorHAnsi"/>
          <w:color w:val="000000" w:themeColor="text1"/>
        </w:rPr>
        <w:t xml:space="preserve">175 </w:t>
      </w:r>
      <w:r w:rsidRPr="007E3D0B">
        <w:rPr>
          <w:rFonts w:asciiTheme="minorHAnsi" w:hAnsiTheme="minorHAnsi" w:cstheme="minorHAnsi"/>
          <w:color w:val="000000" w:themeColor="text1"/>
        </w:rPr>
        <w:t>dispõe sobre a constituição, a administração, o funcionamento e a divulgação de informações dos fundos de investimento.</w:t>
      </w:r>
    </w:p>
    <w:p w14:paraId="7F4030D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investimento em um fundo de investimento, portanto, confere domínio direto sobre fração ideal do patrimônio dado que cada cotista possui propriedade proporcional dos ativos inerentes à composição de cada fundo, sendo inteiramente responsável pelo ônus ou bônus dessa propriedade.</w:t>
      </w:r>
    </w:p>
    <w:p w14:paraId="5C9F447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Através de divulgação pública e oficial, calcula-se o retorno do fundo de investimentos auferindo o rendimento do período, multiplicado pelo valor atual. Abaixo segue fórmula:</w:t>
      </w:r>
    </w:p>
    <w:p w14:paraId="651222EE" w14:textId="77777777" w:rsidR="00500AE2" w:rsidRPr="007E3D0B" w:rsidRDefault="00500AE2" w:rsidP="00500AE2">
      <w:pPr>
        <w:rPr>
          <w:rFonts w:asciiTheme="minorHAnsi" w:eastAsiaTheme="minorEastAsia" w:hAnsiTheme="minorHAnsi" w:cstheme="minorHAnsi"/>
          <w:color w:val="000000" w:themeColor="text1"/>
        </w:rPr>
      </w:pPr>
      <m:oMathPara>
        <m:oMath>
          <m:r>
            <w:rPr>
              <w:rFonts w:ascii="Cambria Math" w:hAnsi="Cambria Math" w:cstheme="minorHAnsi"/>
              <w:color w:val="000000" w:themeColor="text1"/>
            </w:rPr>
            <m:t>retorno=</m:t>
          </m:r>
          <m:d>
            <m:dPr>
              <m:ctrlPr>
                <w:rPr>
                  <w:rFonts w:ascii="Cambria Math" w:hAnsi="Cambria Math" w:cstheme="minorHAnsi"/>
                  <w:i/>
                  <w:color w:val="000000" w:themeColor="text1"/>
                </w:rPr>
              </m:ctrlPr>
            </m:dPr>
            <m:e>
              <m:r>
                <w:rPr>
                  <w:rFonts w:ascii="Cambria Math" w:hAnsi="Cambria Math" w:cstheme="minorHAnsi"/>
                  <w:color w:val="000000" w:themeColor="text1"/>
                </w:rPr>
                <m:t>1+</m:t>
              </m:r>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anterior</m:t>
                  </m:r>
                </m:sub>
              </m:sSub>
            </m:e>
          </m:d>
          <m:r>
            <w:rPr>
              <w:rFonts w:ascii="Cambria Math" w:hAnsi="Cambria Math" w:cstheme="minorHAnsi"/>
              <w:color w:val="000000" w:themeColor="text1"/>
            </w:rPr>
            <m:t>* Ren</m:t>
          </m:r>
          <m:sSub>
            <m:sSubPr>
              <m:ctrlPr>
                <w:rPr>
                  <w:rFonts w:ascii="Cambria Math" w:hAnsi="Cambria Math" w:cstheme="minorHAnsi"/>
                  <w:i/>
                  <w:color w:val="000000" w:themeColor="text1"/>
                </w:rPr>
              </m:ctrlPr>
            </m:sSubPr>
            <m:e>
              <m:r>
                <w:rPr>
                  <w:rFonts w:ascii="Cambria Math" w:hAnsi="Cambria Math" w:cstheme="minorHAnsi"/>
                  <w:color w:val="000000" w:themeColor="text1"/>
                </w:rPr>
                <m:t>d</m:t>
              </m:r>
            </m:e>
            <m:sub>
              <m:r>
                <w:rPr>
                  <w:rFonts w:ascii="Cambria Math" w:hAnsi="Cambria Math" w:cstheme="minorHAnsi"/>
                  <w:color w:val="000000" w:themeColor="text1"/>
                </w:rPr>
                <m:t>fundo</m:t>
              </m:r>
            </m:sub>
          </m:sSub>
        </m:oMath>
      </m:oMathPara>
    </w:p>
    <w:p w14:paraId="03D2E9E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Onde:</w:t>
      </w:r>
    </w:p>
    <w:p w14:paraId="4D648D99"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Retorno: valor da diferente do montante aportado e o </w:t>
      </w:r>
      <w:proofErr w:type="gramStart"/>
      <w:r w:rsidRPr="007E3D0B">
        <w:rPr>
          <w:rFonts w:asciiTheme="minorHAnsi" w:hAnsiTheme="minorHAnsi" w:cstheme="minorHAnsi"/>
          <w:color w:val="000000" w:themeColor="text1"/>
        </w:rPr>
        <w:t>resultado final</w:t>
      </w:r>
      <w:proofErr w:type="gramEnd"/>
      <w:r w:rsidRPr="007E3D0B">
        <w:rPr>
          <w:rFonts w:asciiTheme="minorHAnsi" w:hAnsiTheme="minorHAnsi" w:cstheme="minorHAnsi"/>
          <w:color w:val="000000" w:themeColor="text1"/>
        </w:rPr>
        <w:t xml:space="preserve"> do período</w:t>
      </w:r>
    </w:p>
    <w:p w14:paraId="25990D63" w14:textId="77777777" w:rsidR="00500AE2" w:rsidRPr="007E3D0B" w:rsidRDefault="00000000" w:rsidP="00500AE2">
      <w:pPr>
        <w:spacing w:after="0"/>
        <w:ind w:left="1134"/>
        <w:rPr>
          <w:rFonts w:asciiTheme="minorHAnsi" w:eastAsiaTheme="minorEastAsia" w:hAnsiTheme="minorHAnsi" w:cstheme="minorHAnsi"/>
          <w:color w:val="000000" w:themeColor="text1"/>
        </w:rPr>
      </w:pPr>
      <m:oMath>
        <m:sSub>
          <m:sSubPr>
            <m:ctrlPr>
              <w:rPr>
                <w:rFonts w:ascii="Cambria Math" w:hAnsi="Cambria Math" w:cstheme="minorHAnsi"/>
                <w:i/>
                <w:color w:val="000000" w:themeColor="text1"/>
              </w:rPr>
            </m:ctrlPr>
          </m:sSubPr>
          <m:e>
            <m:r>
              <w:rPr>
                <w:rFonts w:ascii="Cambria Math" w:hAnsi="Cambria Math" w:cstheme="minorHAnsi"/>
                <w:color w:val="000000" w:themeColor="text1"/>
              </w:rPr>
              <m:t>S</m:t>
            </m:r>
          </m:e>
          <m:sub>
            <m:r>
              <w:rPr>
                <w:rFonts w:ascii="Cambria Math" w:hAnsi="Cambria Math" w:cstheme="minorHAnsi"/>
                <w:color w:val="000000" w:themeColor="text1"/>
              </w:rPr>
              <m:t>anterior</m:t>
            </m:r>
          </m:sub>
        </m:sSub>
      </m:oMath>
      <w:r w:rsidR="00500AE2" w:rsidRPr="007E3D0B">
        <w:rPr>
          <w:rFonts w:asciiTheme="minorHAnsi" w:eastAsiaTheme="minorEastAsia" w:hAnsiTheme="minorHAnsi" w:cstheme="minorHAnsi"/>
          <w:color w:val="000000" w:themeColor="text1"/>
        </w:rPr>
        <w:t xml:space="preserve"> : saldo inicial do investimento</w:t>
      </w:r>
    </w:p>
    <w:p w14:paraId="7BA34A88" w14:textId="77777777" w:rsidR="00500AE2" w:rsidRPr="007E3D0B" w:rsidRDefault="00500AE2" w:rsidP="00500AE2">
      <w:pPr>
        <w:ind w:left="1134"/>
        <w:rPr>
          <w:rFonts w:asciiTheme="minorHAnsi" w:eastAsiaTheme="minorEastAsia" w:hAnsiTheme="minorHAnsi" w:cstheme="minorHAnsi"/>
          <w:color w:val="000000" w:themeColor="text1"/>
        </w:rPr>
      </w:pPr>
      <m:oMath>
        <m:r>
          <w:rPr>
            <w:rFonts w:ascii="Cambria Math" w:hAnsi="Cambria Math" w:cstheme="minorHAnsi"/>
            <w:color w:val="000000" w:themeColor="text1"/>
          </w:rPr>
          <m:t>Ren</m:t>
        </m:r>
        <m:sSub>
          <m:sSubPr>
            <m:ctrlPr>
              <w:rPr>
                <w:rFonts w:ascii="Cambria Math" w:hAnsi="Cambria Math" w:cstheme="minorHAnsi"/>
                <w:i/>
                <w:color w:val="000000" w:themeColor="text1"/>
              </w:rPr>
            </m:ctrlPr>
          </m:sSubPr>
          <m:e>
            <m:r>
              <w:rPr>
                <w:rFonts w:ascii="Cambria Math" w:hAnsi="Cambria Math" w:cstheme="minorHAnsi"/>
                <w:color w:val="000000" w:themeColor="text1"/>
              </w:rPr>
              <m:t>d</m:t>
            </m:r>
          </m:e>
          <m:sub>
            <m:r>
              <w:rPr>
                <w:rFonts w:ascii="Cambria Math" w:hAnsi="Cambria Math" w:cstheme="minorHAnsi"/>
                <w:color w:val="000000" w:themeColor="text1"/>
              </w:rPr>
              <m:t>fundo</m:t>
            </m:r>
          </m:sub>
        </m:sSub>
      </m:oMath>
      <w:r w:rsidRPr="007E3D0B">
        <w:rPr>
          <w:rFonts w:asciiTheme="minorHAnsi" w:eastAsiaTheme="minorEastAsia" w:hAnsiTheme="minorHAnsi" w:cstheme="minorHAnsi"/>
          <w:color w:val="000000" w:themeColor="text1"/>
        </w:rPr>
        <w:t xml:space="preserve"> : rendimento do fundo de investimento em um determinado período (em percentual)</w:t>
      </w:r>
    </w:p>
    <w:p w14:paraId="426F2CC1"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Para auferir o valor aportado no fundo de investimento quanto a sua posição em relação a quantidade de cotas, calcula-se:</w:t>
      </w:r>
    </w:p>
    <w:p w14:paraId="3E14D0F0" w14:textId="77777777" w:rsidR="00500AE2" w:rsidRPr="007E3D0B" w:rsidRDefault="00000000" w:rsidP="00500AE2">
      <w:pPr>
        <w:spacing w:before="240"/>
        <w:rPr>
          <w:rFonts w:asciiTheme="minorHAnsi" w:eastAsiaTheme="minorEastAsia" w:hAnsiTheme="minorHAnsi" w:cstheme="minorHAnsi"/>
          <w:color w:val="000000" w:themeColor="text1"/>
        </w:rPr>
      </w:pPr>
      <m:oMathPara>
        <m:oMath>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V</m:t>
              </m:r>
            </m:e>
            <m:sub>
              <m:r>
                <w:rPr>
                  <w:rFonts w:ascii="Cambria Math" w:eastAsiaTheme="minorEastAsia" w:hAnsi="Cambria Math" w:cstheme="minorHAnsi"/>
                  <w:color w:val="000000" w:themeColor="text1"/>
                </w:rPr>
                <m:t>atual</m:t>
              </m:r>
            </m:sub>
          </m:sSub>
          <m:r>
            <w:rPr>
              <w:rFonts w:ascii="Cambria Math" w:eastAsiaTheme="minorEastAsia" w:hAnsi="Cambria Math" w:cstheme="minorHAnsi"/>
              <w:color w:val="000000" w:themeColor="text1"/>
            </w:rPr>
            <m:t>=</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V</m:t>
              </m:r>
            </m:e>
            <m:sub>
              <m:r>
                <w:rPr>
                  <w:rFonts w:ascii="Cambria Math" w:eastAsiaTheme="minorEastAsia" w:hAnsi="Cambria Math" w:cstheme="minorHAnsi"/>
                  <w:color w:val="000000" w:themeColor="text1"/>
                </w:rPr>
                <m:t>cota</m:t>
              </m:r>
            </m:sub>
          </m:sSub>
          <m:r>
            <w:rPr>
              <w:rFonts w:ascii="Cambria Math" w:eastAsiaTheme="minorEastAsia" w:hAnsi="Cambria Math" w:cstheme="minorHAnsi"/>
              <w:color w:val="000000" w:themeColor="text1"/>
            </w:rPr>
            <m:t>*Q</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t</m:t>
              </m:r>
            </m:e>
            <m:sub>
              <m:r>
                <w:rPr>
                  <w:rFonts w:ascii="Cambria Math" w:eastAsiaTheme="minorEastAsia" w:hAnsi="Cambria Math" w:cstheme="minorHAnsi"/>
                  <w:color w:val="000000" w:themeColor="text1"/>
                </w:rPr>
                <m:t>cotas</m:t>
              </m:r>
            </m:sub>
          </m:sSub>
        </m:oMath>
      </m:oMathPara>
    </w:p>
    <w:p w14:paraId="3FA06573" w14:textId="77777777" w:rsidR="00500AE2" w:rsidRPr="007E3D0B" w:rsidRDefault="00500AE2" w:rsidP="00500AE2">
      <w:pPr>
        <w:spacing w:before="240"/>
        <w:rPr>
          <w:rFonts w:asciiTheme="minorHAnsi" w:eastAsiaTheme="minorEastAsia" w:hAnsiTheme="minorHAnsi" w:cstheme="minorHAnsi"/>
          <w:color w:val="000000" w:themeColor="text1"/>
        </w:rPr>
      </w:pPr>
      <w:r w:rsidRPr="007E3D0B">
        <w:rPr>
          <w:rFonts w:asciiTheme="minorHAnsi" w:eastAsiaTheme="minorEastAsia" w:hAnsiTheme="minorHAnsi" w:cstheme="minorHAnsi"/>
          <w:color w:val="000000" w:themeColor="text1"/>
        </w:rPr>
        <w:t>Onde:</w:t>
      </w:r>
    </w:p>
    <w:p w14:paraId="0760B397" w14:textId="77777777" w:rsidR="00500AE2" w:rsidRPr="007E3D0B" w:rsidRDefault="00000000" w:rsidP="00500AE2">
      <w:pPr>
        <w:spacing w:after="0"/>
        <w:ind w:left="1701"/>
        <w:jc w:val="left"/>
        <w:rPr>
          <w:rFonts w:asciiTheme="minorHAnsi" w:eastAsiaTheme="minorEastAsia" w:hAnsiTheme="minorHAnsi" w:cstheme="minorHAnsi"/>
          <w:color w:val="000000" w:themeColor="text1"/>
        </w:rPr>
      </w:pPr>
      <m:oMath>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V</m:t>
            </m:r>
          </m:e>
          <m:sub>
            <m:r>
              <w:rPr>
                <w:rFonts w:ascii="Cambria Math" w:eastAsiaTheme="minorEastAsia" w:hAnsi="Cambria Math" w:cstheme="minorHAnsi"/>
                <w:color w:val="000000" w:themeColor="text1"/>
              </w:rPr>
              <m:t>atual</m:t>
            </m:r>
          </m:sub>
        </m:sSub>
      </m:oMath>
      <w:r w:rsidR="00500AE2" w:rsidRPr="007E3D0B">
        <w:rPr>
          <w:rFonts w:asciiTheme="minorHAnsi" w:eastAsiaTheme="minorEastAsia" w:hAnsiTheme="minorHAnsi" w:cstheme="minorHAnsi"/>
          <w:color w:val="000000" w:themeColor="text1"/>
        </w:rPr>
        <w:t xml:space="preserve"> : valor atual do investimento</w:t>
      </w:r>
    </w:p>
    <w:p w14:paraId="23D64DEC" w14:textId="77777777" w:rsidR="00500AE2" w:rsidRPr="007E3D0B" w:rsidRDefault="00000000" w:rsidP="00500AE2">
      <w:pPr>
        <w:spacing w:after="0"/>
        <w:ind w:left="1701"/>
        <w:jc w:val="left"/>
        <w:rPr>
          <w:rFonts w:asciiTheme="minorHAnsi" w:eastAsiaTheme="minorEastAsia" w:hAnsiTheme="minorHAnsi" w:cstheme="minorHAnsi"/>
          <w:color w:val="000000" w:themeColor="text1"/>
        </w:rPr>
      </w:pPr>
      <m:oMath>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V</m:t>
            </m:r>
          </m:e>
          <m:sub>
            <m:r>
              <w:rPr>
                <w:rFonts w:ascii="Cambria Math" w:eastAsiaTheme="minorEastAsia" w:hAnsi="Cambria Math" w:cstheme="minorHAnsi"/>
                <w:color w:val="000000" w:themeColor="text1"/>
              </w:rPr>
              <m:t>cota</m:t>
            </m:r>
          </m:sub>
        </m:sSub>
      </m:oMath>
      <w:r w:rsidR="00500AE2" w:rsidRPr="007E3D0B">
        <w:rPr>
          <w:rFonts w:asciiTheme="minorHAnsi" w:eastAsiaTheme="minorEastAsia" w:hAnsiTheme="minorHAnsi" w:cstheme="minorHAnsi"/>
          <w:color w:val="000000" w:themeColor="text1"/>
        </w:rPr>
        <w:t xml:space="preserve"> : valor da cota no dia</w:t>
      </w:r>
    </w:p>
    <w:p w14:paraId="6F7814B3" w14:textId="77777777" w:rsidR="00500AE2" w:rsidRPr="007E3D0B" w:rsidRDefault="00500AE2" w:rsidP="00500AE2">
      <w:pPr>
        <w:ind w:left="1701"/>
        <w:jc w:val="left"/>
        <w:rPr>
          <w:rFonts w:asciiTheme="minorHAnsi" w:eastAsiaTheme="minorEastAsia" w:hAnsiTheme="minorHAnsi" w:cstheme="minorHAnsi"/>
          <w:color w:val="000000" w:themeColor="text1"/>
        </w:rPr>
      </w:pPr>
      <m:oMath>
        <m:r>
          <w:rPr>
            <w:rFonts w:ascii="Cambria Math" w:eastAsiaTheme="minorEastAsia" w:hAnsi="Cambria Math" w:cstheme="minorHAnsi"/>
            <w:color w:val="000000" w:themeColor="text1"/>
          </w:rPr>
          <m:t>Q</m:t>
        </m:r>
        <m:sSub>
          <m:sSubPr>
            <m:ctrlPr>
              <w:rPr>
                <w:rFonts w:ascii="Cambria Math" w:eastAsiaTheme="minorEastAsia" w:hAnsi="Cambria Math" w:cstheme="minorHAnsi"/>
                <w:i/>
                <w:color w:val="000000" w:themeColor="text1"/>
              </w:rPr>
            </m:ctrlPr>
          </m:sSubPr>
          <m:e>
            <m:r>
              <w:rPr>
                <w:rFonts w:ascii="Cambria Math" w:eastAsiaTheme="minorEastAsia" w:hAnsi="Cambria Math" w:cstheme="minorHAnsi"/>
                <w:color w:val="000000" w:themeColor="text1"/>
              </w:rPr>
              <m:t>t</m:t>
            </m:r>
          </m:e>
          <m:sub>
            <m:r>
              <w:rPr>
                <w:rFonts w:ascii="Cambria Math" w:eastAsiaTheme="minorEastAsia" w:hAnsi="Cambria Math" w:cstheme="minorHAnsi"/>
                <w:color w:val="000000" w:themeColor="text1"/>
              </w:rPr>
              <m:t>cotas</m:t>
            </m:r>
          </m:sub>
        </m:sSub>
      </m:oMath>
      <w:r w:rsidRPr="007E3D0B">
        <w:rPr>
          <w:rFonts w:asciiTheme="minorHAnsi" w:eastAsiaTheme="minorEastAsia" w:hAnsiTheme="minorHAnsi" w:cstheme="minorHAnsi"/>
          <w:color w:val="000000" w:themeColor="text1"/>
        </w:rPr>
        <w:t xml:space="preserve"> : quantidade de cotas adquiridas mediante aporte no fundo de investimento</w:t>
      </w:r>
    </w:p>
    <w:p w14:paraId="6CBEF92E" w14:textId="77777777" w:rsidR="00500AE2" w:rsidRPr="007E3D0B" w:rsidRDefault="002C0A6F"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De acordo com os </w:t>
      </w:r>
      <w:proofErr w:type="spellStart"/>
      <w:r w:rsidR="00616B74" w:rsidRPr="007E3D0B">
        <w:rPr>
          <w:rFonts w:asciiTheme="minorHAnsi" w:hAnsiTheme="minorHAnsi" w:cstheme="minorHAnsi"/>
          <w:color w:val="000000" w:themeColor="text1"/>
        </w:rPr>
        <w:t>Arts</w:t>
      </w:r>
      <w:proofErr w:type="spellEnd"/>
      <w:r w:rsidR="00616B74"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 xml:space="preserve"> </w:t>
      </w:r>
      <w:r w:rsidR="00616B74" w:rsidRPr="007E3D0B">
        <w:rPr>
          <w:rFonts w:asciiTheme="minorHAnsi" w:hAnsiTheme="minorHAnsi" w:cstheme="minorHAnsi"/>
          <w:color w:val="000000" w:themeColor="text1"/>
        </w:rPr>
        <w:t xml:space="preserve">nº </w:t>
      </w:r>
      <w:r w:rsidRPr="007E3D0B">
        <w:rPr>
          <w:rFonts w:asciiTheme="minorHAnsi" w:hAnsiTheme="minorHAnsi" w:cstheme="minorHAnsi"/>
          <w:color w:val="000000" w:themeColor="text1"/>
        </w:rPr>
        <w:t xml:space="preserve">143 a 147 da Portaria MTP nº 1.467/2022, a forma como os ativos dos Fundos de Investimentos Imobiliários </w:t>
      </w:r>
      <w:r w:rsidR="00616B74" w:rsidRPr="007E3D0B">
        <w:rPr>
          <w:rFonts w:asciiTheme="minorHAnsi" w:hAnsiTheme="minorHAnsi" w:cstheme="minorHAnsi"/>
          <w:color w:val="000000" w:themeColor="text1"/>
        </w:rPr>
        <w:t>– FII</w:t>
      </w:r>
      <w:r w:rsidRPr="007E3D0B">
        <w:rPr>
          <w:rFonts w:asciiTheme="minorHAnsi" w:hAnsiTheme="minorHAnsi" w:cstheme="minorHAnsi"/>
          <w:color w:val="000000" w:themeColor="text1"/>
        </w:rPr>
        <w:t xml:space="preserve"> são precificados segue regras específicas. O </w:t>
      </w:r>
      <w:r w:rsidR="00616B74" w:rsidRPr="007E3D0B">
        <w:rPr>
          <w:rFonts w:asciiTheme="minorHAnsi" w:hAnsiTheme="minorHAnsi" w:cstheme="minorHAnsi"/>
          <w:color w:val="000000" w:themeColor="text1"/>
        </w:rPr>
        <w:t>Art.</w:t>
      </w:r>
      <w:r w:rsidRPr="007E3D0B">
        <w:rPr>
          <w:rFonts w:asciiTheme="minorHAnsi" w:hAnsiTheme="minorHAnsi" w:cstheme="minorHAnsi"/>
          <w:color w:val="000000" w:themeColor="text1"/>
        </w:rPr>
        <w:t xml:space="preserve"> </w:t>
      </w:r>
      <w:r w:rsidR="00616B74" w:rsidRPr="007E3D0B">
        <w:rPr>
          <w:rFonts w:asciiTheme="minorHAnsi" w:hAnsiTheme="minorHAnsi" w:cstheme="minorHAnsi"/>
          <w:color w:val="000000" w:themeColor="text1"/>
        </w:rPr>
        <w:t xml:space="preserve">nº </w:t>
      </w:r>
      <w:r w:rsidRPr="007E3D0B">
        <w:rPr>
          <w:rFonts w:asciiTheme="minorHAnsi" w:hAnsiTheme="minorHAnsi" w:cstheme="minorHAnsi"/>
          <w:color w:val="000000" w:themeColor="text1"/>
        </w:rPr>
        <w:t xml:space="preserve">145 determina que esses ativos podem ser classificados como </w:t>
      </w:r>
      <w:r w:rsidRPr="007E3D0B">
        <w:rPr>
          <w:rFonts w:asciiTheme="minorHAnsi" w:hAnsiTheme="minorHAnsi" w:cstheme="minorHAnsi"/>
          <w:b/>
          <w:color w:val="000000" w:themeColor="text1"/>
        </w:rPr>
        <w:t>disponíveis para negociação futura</w:t>
      </w:r>
      <w:r w:rsidRPr="007E3D0B">
        <w:rPr>
          <w:rFonts w:asciiTheme="minorHAnsi" w:hAnsiTheme="minorHAnsi" w:cstheme="minorHAnsi"/>
          <w:color w:val="000000" w:themeColor="text1"/>
        </w:rPr>
        <w:t xml:space="preserve"> ou </w:t>
      </w:r>
      <w:r w:rsidRPr="007E3D0B">
        <w:rPr>
          <w:rFonts w:asciiTheme="minorHAnsi" w:hAnsiTheme="minorHAnsi" w:cstheme="minorHAnsi"/>
          <w:b/>
          <w:color w:val="000000" w:themeColor="text1"/>
        </w:rPr>
        <w:t>para venda imediata</w:t>
      </w:r>
      <w:r w:rsidRPr="007E3D0B">
        <w:rPr>
          <w:rFonts w:asciiTheme="minorHAnsi" w:hAnsiTheme="minorHAnsi" w:cstheme="minorHAnsi"/>
          <w:color w:val="000000" w:themeColor="text1"/>
        </w:rPr>
        <w:t xml:space="preserve">. Nesses casos, é obrigatória a chamada </w:t>
      </w:r>
      <w:r w:rsidRPr="007E3D0B">
        <w:rPr>
          <w:rFonts w:asciiTheme="minorHAnsi" w:hAnsiTheme="minorHAnsi" w:cstheme="minorHAnsi"/>
          <w:b/>
          <w:color w:val="000000" w:themeColor="text1"/>
        </w:rPr>
        <w:t>marcação a mercado</w:t>
      </w:r>
      <w:r w:rsidRPr="007E3D0B">
        <w:rPr>
          <w:rFonts w:asciiTheme="minorHAnsi" w:hAnsiTheme="minorHAnsi" w:cstheme="minorHAnsi"/>
          <w:color w:val="000000" w:themeColor="text1"/>
        </w:rPr>
        <w:t xml:space="preserve">, ou seja, os ativos devem ser avaliados de acordo com o valor de mercado atual. No entanto, se os ativos forem mantidos até o vencimento, existe a possibilidade de usar outras formas de precificação, diferentes da marcação a mercado, como a </w:t>
      </w:r>
      <w:r w:rsidRPr="007E3D0B">
        <w:rPr>
          <w:rFonts w:asciiTheme="minorHAnsi" w:hAnsiTheme="minorHAnsi" w:cstheme="minorHAnsi"/>
          <w:b/>
          <w:color w:val="000000" w:themeColor="text1"/>
        </w:rPr>
        <w:t>marcação patrimonial</w:t>
      </w:r>
      <w:r w:rsidRPr="007E3D0B">
        <w:rPr>
          <w:rFonts w:asciiTheme="minorHAnsi" w:hAnsiTheme="minorHAnsi" w:cstheme="minorHAnsi"/>
          <w:color w:val="000000" w:themeColor="text1"/>
        </w:rPr>
        <w:t xml:space="preserve">, que segue normas da Comissão de Valores Mobiliários (CVM), conforme descrito no </w:t>
      </w:r>
      <w:r w:rsidR="00783A45" w:rsidRPr="007E3D0B">
        <w:rPr>
          <w:rFonts w:asciiTheme="minorHAnsi" w:hAnsiTheme="minorHAnsi" w:cstheme="minorHAnsi"/>
          <w:color w:val="000000" w:themeColor="text1"/>
        </w:rPr>
        <w:t xml:space="preserve">Art. </w:t>
      </w:r>
      <w:r w:rsidRPr="007E3D0B">
        <w:rPr>
          <w:rFonts w:asciiTheme="minorHAnsi" w:hAnsiTheme="minorHAnsi" w:cstheme="minorHAnsi"/>
          <w:color w:val="000000" w:themeColor="text1"/>
        </w:rPr>
        <w:t>147. Essa flexibilidade de escolha permite adaptar a avaliação dos ativos conforme a estratégia e o perfil do fundo, sempre em conformidade com as regulamentações aplicáveis aos FIIs.</w:t>
      </w:r>
    </w:p>
    <w:p w14:paraId="756A581D" w14:textId="77777777" w:rsidR="00283AC9" w:rsidRPr="007E3D0B" w:rsidRDefault="00283AC9" w:rsidP="00500AE2">
      <w:pPr>
        <w:rPr>
          <w:rFonts w:asciiTheme="minorHAnsi" w:hAnsiTheme="minorHAnsi" w:cstheme="minorHAnsi"/>
          <w:color w:val="000000" w:themeColor="text1"/>
        </w:rPr>
      </w:pPr>
    </w:p>
    <w:p w14:paraId="0BC33ADD" w14:textId="77777777" w:rsidR="00500AE2" w:rsidRPr="007E3D0B" w:rsidRDefault="00875FB1" w:rsidP="00A468C9">
      <w:pPr>
        <w:pStyle w:val="Ttulo3"/>
        <w:rPr>
          <w:rFonts w:asciiTheme="minorHAnsi" w:hAnsiTheme="minorHAnsi" w:cstheme="minorHAnsi"/>
          <w:color w:val="000000" w:themeColor="text1"/>
          <w:sz w:val="22"/>
          <w:szCs w:val="22"/>
        </w:rPr>
      </w:pPr>
      <w:bookmarkStart w:id="124" w:name="_Toc118105164"/>
      <w:r w:rsidRPr="007E3D0B">
        <w:rPr>
          <w:rFonts w:asciiTheme="minorHAnsi" w:hAnsiTheme="minorHAnsi" w:cstheme="minorHAnsi"/>
          <w:color w:val="000000" w:themeColor="text1"/>
          <w:sz w:val="22"/>
          <w:szCs w:val="22"/>
        </w:rPr>
        <w:t>Títulos Privados</w:t>
      </w:r>
      <w:bookmarkEnd w:id="124"/>
    </w:p>
    <w:p w14:paraId="5BB5DA2B" w14:textId="77777777" w:rsidR="000B3FC5" w:rsidRPr="007E3D0B" w:rsidRDefault="000B3FC5" w:rsidP="000B3FC5">
      <w:pPr>
        <w:rPr>
          <w:rFonts w:asciiTheme="minorHAnsi" w:hAnsiTheme="minorHAnsi" w:cstheme="minorHAnsi"/>
          <w:color w:val="000000" w:themeColor="text1"/>
        </w:rPr>
      </w:pPr>
      <w:r w:rsidRPr="007E3D0B">
        <w:rPr>
          <w:rFonts w:asciiTheme="minorHAnsi" w:hAnsiTheme="minorHAnsi" w:cstheme="minorHAnsi"/>
          <w:color w:val="000000" w:themeColor="text1"/>
        </w:rPr>
        <w:t>A precificação dos títulos privados deve seguir critérios técnicos de marcação a mercado, assegurando que os ativos reflitam adequadamente seu valor econômico e os riscos de crédito associados ao emissor.</w:t>
      </w:r>
    </w:p>
    <w:p w14:paraId="6A7F9210" w14:textId="77777777" w:rsidR="000B3FC5" w:rsidRPr="007E3D0B" w:rsidRDefault="000B3FC5"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Certificados de Depósito Bancário – CDB</w:t>
      </w:r>
    </w:p>
    <w:p w14:paraId="3B1365FA" w14:textId="77777777" w:rsidR="003C0C83" w:rsidRPr="007E3D0B" w:rsidRDefault="00CA6440" w:rsidP="000B3FC5">
      <w:pPr>
        <w:rPr>
          <w:rFonts w:asciiTheme="minorHAnsi" w:hAnsiTheme="minorHAnsi" w:cstheme="minorHAnsi"/>
          <w:color w:val="000000" w:themeColor="text1"/>
        </w:rPr>
      </w:pPr>
      <w:r w:rsidRPr="007E3D0B">
        <w:rPr>
          <w:rFonts w:asciiTheme="minorHAnsi" w:hAnsiTheme="minorHAnsi" w:cstheme="minorHAnsi"/>
          <w:color w:val="000000" w:themeColor="text1"/>
        </w:rPr>
        <w:t>Os certificados de depósito bancário (CDBs) são instrumentos de captação de recursos utilizados por instituições financeiras, os quais pagam ao aplicador, ao final do prazo contratado, a remuneração prevista, que em geral é flutuante ou pré-fixada, podendo ser emitidos e registrados na CETIP</w:t>
      </w:r>
      <w:r w:rsidR="000B3FC5" w:rsidRPr="007E3D0B">
        <w:rPr>
          <w:rFonts w:asciiTheme="minorHAnsi" w:hAnsiTheme="minorHAnsi" w:cstheme="minorHAnsi"/>
          <w:color w:val="000000" w:themeColor="text1"/>
        </w:rPr>
        <w:t>.</w:t>
      </w:r>
    </w:p>
    <w:p w14:paraId="723BEC74" w14:textId="77777777" w:rsidR="003C0C83" w:rsidRPr="007E3D0B" w:rsidRDefault="000B3FC5" w:rsidP="008B69D1">
      <w:pPr>
        <w:pStyle w:val="PargrafodaLista"/>
        <w:numPr>
          <w:ilvl w:val="1"/>
          <w:numId w:val="7"/>
        </w:numPr>
        <w:rPr>
          <w:rFonts w:asciiTheme="minorHAnsi" w:hAnsiTheme="minorHAnsi" w:cstheme="minorHAnsi"/>
          <w:color w:val="000000" w:themeColor="text1"/>
        </w:rPr>
      </w:pPr>
      <w:r w:rsidRPr="007E3D0B">
        <w:rPr>
          <w:rFonts w:asciiTheme="minorHAnsi" w:hAnsiTheme="minorHAnsi" w:cstheme="minorHAnsi"/>
          <w:b/>
          <w:bCs/>
          <w:color w:val="000000" w:themeColor="text1"/>
        </w:rPr>
        <w:t>CDBs pré-fixados:</w:t>
      </w:r>
      <w:r w:rsidRPr="007E3D0B">
        <w:rPr>
          <w:rFonts w:asciiTheme="minorHAnsi" w:hAnsiTheme="minorHAnsi" w:cstheme="minorHAnsi"/>
          <w:color w:val="000000" w:themeColor="text1"/>
        </w:rPr>
        <w:t xml:space="preserve"> a precificação é feita pela marcação a mercado, calculada pelo desconto do valor futuro do título pela taxa pré-fixada de mercado, acrescida de um spread de risco definido em função do prazo e do rating do emissor.</w:t>
      </w:r>
    </w:p>
    <w:p w14:paraId="7FEB06A9" w14:textId="77777777" w:rsidR="003C0C83" w:rsidRPr="007E3D0B" w:rsidRDefault="003C0C83" w:rsidP="003C0C83">
      <w:pPr>
        <w:pStyle w:val="PargrafodaLista"/>
        <w:ind w:left="1440"/>
        <w:rPr>
          <w:rFonts w:asciiTheme="minorHAnsi" w:hAnsiTheme="minorHAnsi" w:cstheme="minorHAnsi"/>
          <w:color w:val="000000" w:themeColor="text1"/>
        </w:rPr>
      </w:pPr>
    </w:p>
    <w:p w14:paraId="766B9094" w14:textId="77777777" w:rsidR="000B3FC5" w:rsidRPr="007E3D0B" w:rsidRDefault="000B3FC5" w:rsidP="008B69D1">
      <w:pPr>
        <w:pStyle w:val="PargrafodaLista"/>
        <w:numPr>
          <w:ilvl w:val="1"/>
          <w:numId w:val="7"/>
        </w:numPr>
        <w:rPr>
          <w:rFonts w:asciiTheme="minorHAnsi" w:hAnsiTheme="minorHAnsi" w:cstheme="minorHAnsi"/>
          <w:color w:val="000000" w:themeColor="text1"/>
        </w:rPr>
      </w:pPr>
      <w:r w:rsidRPr="007E3D0B">
        <w:rPr>
          <w:rFonts w:asciiTheme="minorHAnsi" w:hAnsiTheme="minorHAnsi" w:cstheme="minorHAnsi"/>
          <w:b/>
          <w:bCs/>
          <w:color w:val="000000" w:themeColor="text1"/>
        </w:rPr>
        <w:t>CDBs pós-fixados:</w:t>
      </w:r>
      <w:r w:rsidRPr="007E3D0B">
        <w:rPr>
          <w:rFonts w:asciiTheme="minorHAnsi" w:hAnsiTheme="minorHAnsi" w:cstheme="minorHAnsi"/>
          <w:color w:val="000000" w:themeColor="text1"/>
        </w:rPr>
        <w:t xml:space="preserve"> atualizados pelo CDI, sua precificação é feita projetando o valor futuro pela taxa contratada (percentual ou CDI acrescido de spread) e descontando-o pela curva de juros de mercado, considerando também o spread de risco do emissor.</w:t>
      </w:r>
    </w:p>
    <w:p w14:paraId="17968277" w14:textId="77777777" w:rsidR="000B3FC5" w:rsidRPr="007E3D0B" w:rsidRDefault="000B3FC5" w:rsidP="000B3FC5">
      <w:pPr>
        <w:rPr>
          <w:rFonts w:asciiTheme="minorHAnsi" w:hAnsiTheme="minorHAnsi" w:cstheme="minorHAnsi"/>
          <w:color w:val="000000" w:themeColor="text1"/>
        </w:rPr>
      </w:pPr>
    </w:p>
    <w:p w14:paraId="0417DD16" w14:textId="77777777" w:rsidR="000B3FC5" w:rsidRPr="007E3D0B" w:rsidRDefault="000B3FC5" w:rsidP="008B69D1">
      <w:pPr>
        <w:pStyle w:val="PargrafodaLista"/>
        <w:numPr>
          <w:ilvl w:val="0"/>
          <w:numId w:val="7"/>
        </w:numPr>
        <w:rPr>
          <w:rFonts w:asciiTheme="minorHAnsi" w:hAnsiTheme="minorHAnsi" w:cstheme="minorHAnsi"/>
          <w:b/>
          <w:bCs/>
          <w:color w:val="000000" w:themeColor="text1"/>
        </w:rPr>
      </w:pPr>
      <w:r w:rsidRPr="007E3D0B">
        <w:rPr>
          <w:rFonts w:asciiTheme="minorHAnsi" w:hAnsiTheme="minorHAnsi" w:cstheme="minorHAnsi"/>
          <w:b/>
          <w:bCs/>
          <w:color w:val="000000" w:themeColor="text1"/>
        </w:rPr>
        <w:t>Letras Financeiras – LF</w:t>
      </w:r>
    </w:p>
    <w:p w14:paraId="22893DE8" w14:textId="77777777" w:rsidR="000B3FC5" w:rsidRPr="007E3D0B" w:rsidRDefault="000B3FC5" w:rsidP="000B3FC5">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As Letras Financeiras </w:t>
      </w:r>
      <w:r w:rsidR="001E01EF" w:rsidRPr="007E3D0B">
        <w:rPr>
          <w:rFonts w:asciiTheme="minorHAnsi" w:hAnsiTheme="minorHAnsi" w:cstheme="minorHAnsi"/>
          <w:color w:val="000000" w:themeColor="text1"/>
        </w:rPr>
        <w:t xml:space="preserve">– </w:t>
      </w:r>
      <w:proofErr w:type="spellStart"/>
      <w:r w:rsidRPr="007E3D0B">
        <w:rPr>
          <w:rFonts w:asciiTheme="minorHAnsi" w:hAnsiTheme="minorHAnsi" w:cstheme="minorHAnsi"/>
          <w:color w:val="000000" w:themeColor="text1"/>
        </w:rPr>
        <w:t>LF</w:t>
      </w:r>
      <w:r w:rsidR="001E01EF"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s</w:t>
      </w:r>
      <w:proofErr w:type="spellEnd"/>
      <w:r w:rsidRPr="007E3D0B">
        <w:rPr>
          <w:rFonts w:asciiTheme="minorHAnsi" w:hAnsiTheme="minorHAnsi" w:cstheme="minorHAnsi"/>
          <w:color w:val="000000" w:themeColor="text1"/>
        </w:rPr>
        <w:t xml:space="preserve"> são títulos emitidos por </w:t>
      </w:r>
      <w:r w:rsidR="001E01EF" w:rsidRPr="007E3D0B">
        <w:rPr>
          <w:rFonts w:asciiTheme="minorHAnsi" w:hAnsiTheme="minorHAnsi" w:cstheme="minorHAnsi"/>
          <w:color w:val="000000" w:themeColor="text1"/>
        </w:rPr>
        <w:t>I</w:t>
      </w:r>
      <w:r w:rsidRPr="007E3D0B">
        <w:rPr>
          <w:rFonts w:asciiTheme="minorHAnsi" w:hAnsiTheme="minorHAnsi" w:cstheme="minorHAnsi"/>
          <w:color w:val="000000" w:themeColor="text1"/>
        </w:rPr>
        <w:t xml:space="preserve">nstituições </w:t>
      </w:r>
      <w:r w:rsidR="001E01EF" w:rsidRPr="007E3D0B">
        <w:rPr>
          <w:rFonts w:asciiTheme="minorHAnsi" w:hAnsiTheme="minorHAnsi" w:cstheme="minorHAnsi"/>
          <w:color w:val="000000" w:themeColor="text1"/>
        </w:rPr>
        <w:t>F</w:t>
      </w:r>
      <w:r w:rsidRPr="007E3D0B">
        <w:rPr>
          <w:rFonts w:asciiTheme="minorHAnsi" w:hAnsiTheme="minorHAnsi" w:cstheme="minorHAnsi"/>
          <w:color w:val="000000" w:themeColor="text1"/>
        </w:rPr>
        <w:t>inanceiras, com prazo mínimo de 24 (vinte e quatro) meses e sem liquidez antes do vencimento. Têm como objetivo a captação de recursos de longo prazo.</w:t>
      </w:r>
    </w:p>
    <w:p w14:paraId="0618A781" w14:textId="77777777" w:rsidR="000B3FC5" w:rsidRPr="007E3D0B" w:rsidRDefault="000B3FC5" w:rsidP="000B3FC5">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 xml:space="preserve">A precificação das </w:t>
      </w:r>
      <w:proofErr w:type="spellStart"/>
      <w:r w:rsidRPr="007E3D0B">
        <w:rPr>
          <w:rFonts w:asciiTheme="minorHAnsi" w:hAnsiTheme="minorHAnsi" w:cstheme="minorHAnsi"/>
          <w:color w:val="000000" w:themeColor="text1"/>
        </w:rPr>
        <w:t>LFs</w:t>
      </w:r>
      <w:proofErr w:type="spellEnd"/>
      <w:r w:rsidRPr="007E3D0B">
        <w:rPr>
          <w:rFonts w:asciiTheme="minorHAnsi" w:hAnsiTheme="minorHAnsi" w:cstheme="minorHAnsi"/>
          <w:color w:val="000000" w:themeColor="text1"/>
        </w:rPr>
        <w:t xml:space="preserve"> segue o método de marcação a mercado, sendo calculada pelo desconto do fluxo de pagamentos futuros do título (juros e principal) com base nas taxas de juros praticadas no mercado secundário para o prazo remanescente, acrescidas do spread de risco de crédito do emissor.</w:t>
      </w:r>
    </w:p>
    <w:p w14:paraId="4D59395A" w14:textId="714CEE54" w:rsidR="00F91A93" w:rsidRPr="007E3D0B" w:rsidRDefault="000B3FC5" w:rsidP="0095394F">
      <w:pPr>
        <w:rPr>
          <w:rFonts w:asciiTheme="minorHAnsi" w:hAnsiTheme="minorHAnsi" w:cstheme="minorHAnsi"/>
          <w:color w:val="000000" w:themeColor="text1"/>
        </w:rPr>
      </w:pPr>
      <w:r w:rsidRPr="007E3D0B">
        <w:rPr>
          <w:rFonts w:asciiTheme="minorHAnsi" w:hAnsiTheme="minorHAnsi" w:cstheme="minorHAnsi"/>
          <w:color w:val="000000" w:themeColor="text1"/>
        </w:rPr>
        <w:t>Em síntese, os critérios de precificação adotados visam refletir, de forma transparente e tempestiva, o valor econômico dos ativos privados, assegurando maior consistência na gestão da carteira e respeito às normas aplicáveis aos RPPS.</w:t>
      </w:r>
    </w:p>
    <w:p w14:paraId="72FA21B6" w14:textId="77777777" w:rsidR="00500AE2" w:rsidRPr="007E3D0B" w:rsidRDefault="00500AE2" w:rsidP="004F698B">
      <w:pPr>
        <w:pStyle w:val="Ttulo1"/>
        <w:rPr>
          <w:rFonts w:asciiTheme="minorHAnsi" w:hAnsiTheme="minorHAnsi" w:cstheme="minorHAnsi"/>
          <w:color w:val="000000" w:themeColor="text1"/>
          <w:sz w:val="22"/>
          <w:szCs w:val="22"/>
        </w:rPr>
      </w:pPr>
      <w:bookmarkStart w:id="125" w:name="_Toc118105166"/>
      <w:bookmarkStart w:id="126" w:name="_Toc213399440"/>
      <w:r w:rsidRPr="007E3D0B">
        <w:rPr>
          <w:rFonts w:asciiTheme="minorHAnsi" w:hAnsiTheme="minorHAnsi" w:cstheme="minorHAnsi"/>
          <w:color w:val="000000" w:themeColor="text1"/>
          <w:sz w:val="22"/>
          <w:szCs w:val="22"/>
        </w:rPr>
        <w:t>FONTES PRIMÁRIAS DE INFORMAÇÕES</w:t>
      </w:r>
      <w:bookmarkEnd w:id="125"/>
      <w:bookmarkEnd w:id="126"/>
    </w:p>
    <w:p w14:paraId="00EC322A"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Como os procedimentos de marcação a mercado são diários, como norma e sempre que possível, adotam-se preços e cotações das seguintes fontes:</w:t>
      </w:r>
    </w:p>
    <w:p w14:paraId="004D303B" w14:textId="77777777" w:rsidR="00500AE2" w:rsidRPr="007E3D0B" w:rsidRDefault="00500AE2" w:rsidP="008B69D1">
      <w:pPr>
        <w:pStyle w:val="PargrafodaLista"/>
        <w:numPr>
          <w:ilvl w:val="0"/>
          <w:numId w:val="3"/>
        </w:numPr>
        <w:rPr>
          <w:rFonts w:asciiTheme="minorHAnsi" w:hAnsiTheme="minorHAnsi" w:cstheme="minorHAnsi"/>
          <w:color w:val="000000" w:themeColor="text1"/>
        </w:rPr>
      </w:pPr>
      <w:r w:rsidRPr="007E3D0B">
        <w:rPr>
          <w:rFonts w:asciiTheme="minorHAnsi" w:hAnsiTheme="minorHAnsi" w:cstheme="minorHAnsi"/>
          <w:color w:val="000000" w:themeColor="text1"/>
        </w:rPr>
        <w:t>Títulos Públicos Federais e debêntures: Taxas Indicativas da ANBIMA – Associação Brasileira das Entidades dos Mercados Financeiros e de Capitais (https://www.anbima.com.br/pt_br/informar/taxas-de-titulos-publicos.htm);</w:t>
      </w:r>
    </w:p>
    <w:p w14:paraId="2C3FF90A" w14:textId="77777777" w:rsidR="00500AE2" w:rsidRPr="007E3D0B" w:rsidRDefault="00500AE2" w:rsidP="00500AE2">
      <w:pPr>
        <w:pStyle w:val="PargrafodaLista"/>
        <w:rPr>
          <w:rFonts w:asciiTheme="minorHAnsi" w:hAnsiTheme="minorHAnsi" w:cstheme="minorHAnsi"/>
          <w:color w:val="000000" w:themeColor="text1"/>
        </w:rPr>
      </w:pPr>
    </w:p>
    <w:p w14:paraId="2D41BD0D" w14:textId="77777777" w:rsidR="00500AE2" w:rsidRPr="007E3D0B" w:rsidRDefault="00500AE2" w:rsidP="008B69D1">
      <w:pPr>
        <w:pStyle w:val="PargrafodaLista"/>
        <w:numPr>
          <w:ilvl w:val="0"/>
          <w:numId w:val="3"/>
        </w:numPr>
        <w:rPr>
          <w:rFonts w:asciiTheme="minorHAnsi" w:hAnsiTheme="minorHAnsi" w:cstheme="minorHAnsi"/>
          <w:color w:val="000000" w:themeColor="text1"/>
        </w:rPr>
      </w:pPr>
      <w:r w:rsidRPr="007E3D0B">
        <w:rPr>
          <w:rFonts w:asciiTheme="minorHAnsi" w:hAnsiTheme="minorHAnsi" w:cstheme="minorHAnsi"/>
          <w:color w:val="000000" w:themeColor="text1"/>
        </w:rPr>
        <w:t>Cotas de fundos de investimentos: Comissão de Valores Mobiliários – CVM (http://www.cvm.gov.br/menu/regulados/fundos/consultas/fundos.html);</w:t>
      </w:r>
    </w:p>
    <w:p w14:paraId="4DFE6394" w14:textId="77777777" w:rsidR="00500AE2" w:rsidRPr="007E3D0B" w:rsidRDefault="00500AE2" w:rsidP="00500AE2">
      <w:pPr>
        <w:pStyle w:val="PargrafodaLista"/>
        <w:rPr>
          <w:rFonts w:asciiTheme="minorHAnsi" w:hAnsiTheme="minorHAnsi" w:cstheme="minorHAnsi"/>
          <w:color w:val="000000" w:themeColor="text1"/>
        </w:rPr>
      </w:pPr>
    </w:p>
    <w:p w14:paraId="333F0606" w14:textId="77777777" w:rsidR="00500AE2" w:rsidRPr="007E3D0B" w:rsidRDefault="00500AE2" w:rsidP="008B69D1">
      <w:pPr>
        <w:pStyle w:val="PargrafodaLista"/>
        <w:numPr>
          <w:ilvl w:val="0"/>
          <w:numId w:val="3"/>
        </w:numPr>
        <w:rPr>
          <w:rFonts w:asciiTheme="minorHAnsi" w:hAnsiTheme="minorHAnsi" w:cstheme="minorHAnsi"/>
          <w:color w:val="000000" w:themeColor="text1"/>
        </w:rPr>
      </w:pPr>
      <w:r w:rsidRPr="007E3D0B">
        <w:rPr>
          <w:rFonts w:asciiTheme="minorHAnsi" w:hAnsiTheme="minorHAnsi" w:cstheme="minorHAnsi"/>
          <w:color w:val="000000" w:themeColor="text1"/>
        </w:rPr>
        <w:t>Valor Nominal Atualizado: Valor Nominal Atualizado ANBIMA - Associação Brasileira das Entidades dos Mercados Financeiros e de Capitais (https://www.anbima.com.br/pt_br/informar/valor-nominal-atualizado.htm);</w:t>
      </w:r>
    </w:p>
    <w:p w14:paraId="13D6E52E" w14:textId="77777777" w:rsidR="00500AE2" w:rsidRPr="007E3D0B" w:rsidRDefault="00500AE2" w:rsidP="00500AE2">
      <w:pPr>
        <w:pStyle w:val="PargrafodaLista"/>
        <w:rPr>
          <w:rFonts w:asciiTheme="minorHAnsi" w:hAnsiTheme="minorHAnsi" w:cstheme="minorHAnsi"/>
          <w:color w:val="000000" w:themeColor="text1"/>
        </w:rPr>
      </w:pPr>
    </w:p>
    <w:p w14:paraId="3622D6C0" w14:textId="77777777" w:rsidR="00500AE2" w:rsidRPr="007E3D0B" w:rsidRDefault="00500AE2" w:rsidP="008B69D1">
      <w:pPr>
        <w:pStyle w:val="PargrafodaLista"/>
        <w:numPr>
          <w:ilvl w:val="0"/>
          <w:numId w:val="3"/>
        </w:numPr>
        <w:rPr>
          <w:rFonts w:asciiTheme="minorHAnsi" w:hAnsiTheme="minorHAnsi" w:cstheme="minorHAnsi"/>
          <w:color w:val="000000" w:themeColor="text1"/>
        </w:rPr>
      </w:pPr>
      <w:r w:rsidRPr="007E3D0B">
        <w:rPr>
          <w:rFonts w:asciiTheme="minorHAnsi" w:hAnsiTheme="minorHAnsi" w:cstheme="minorHAnsi"/>
          <w:color w:val="000000" w:themeColor="text1"/>
        </w:rPr>
        <w:t>Ações, opções sobre ações líquidas e termo de ações: BM&amp;FBOVESPA (http://www.bmfbovespa.com.br/</w:t>
      </w:r>
      <w:proofErr w:type="spellStart"/>
      <w:r w:rsidRPr="007E3D0B">
        <w:rPr>
          <w:rFonts w:asciiTheme="minorHAnsi" w:hAnsiTheme="minorHAnsi" w:cstheme="minorHAnsi"/>
          <w:color w:val="000000" w:themeColor="text1"/>
        </w:rPr>
        <w:t>pt_br</w:t>
      </w:r>
      <w:proofErr w:type="spellEnd"/>
      <w:r w:rsidRPr="007E3D0B">
        <w:rPr>
          <w:rFonts w:asciiTheme="minorHAnsi" w:hAnsiTheme="minorHAnsi" w:cstheme="minorHAnsi"/>
          <w:color w:val="000000" w:themeColor="text1"/>
        </w:rPr>
        <w:t>/); e</w:t>
      </w:r>
    </w:p>
    <w:p w14:paraId="719550B3" w14:textId="77777777" w:rsidR="00500AE2" w:rsidRPr="007E3D0B" w:rsidRDefault="00500AE2" w:rsidP="00500AE2">
      <w:pPr>
        <w:pStyle w:val="PargrafodaLista"/>
        <w:rPr>
          <w:rFonts w:asciiTheme="minorHAnsi" w:hAnsiTheme="minorHAnsi" w:cstheme="minorHAnsi"/>
          <w:color w:val="000000" w:themeColor="text1"/>
        </w:rPr>
      </w:pPr>
    </w:p>
    <w:p w14:paraId="798D5E63" w14:textId="397DAB86" w:rsidR="00500AE2" w:rsidRPr="0095394F" w:rsidRDefault="00500AE2" w:rsidP="00500AE2">
      <w:pPr>
        <w:pStyle w:val="PargrafodaLista"/>
        <w:numPr>
          <w:ilvl w:val="0"/>
          <w:numId w:val="3"/>
        </w:numPr>
        <w:rPr>
          <w:rFonts w:asciiTheme="minorHAnsi" w:hAnsiTheme="minorHAnsi" w:cstheme="minorHAnsi"/>
          <w:color w:val="000000" w:themeColor="text1"/>
        </w:rPr>
      </w:pPr>
      <w:r w:rsidRPr="0095394F">
        <w:rPr>
          <w:rFonts w:asciiTheme="minorHAnsi" w:hAnsiTheme="minorHAnsi" w:cstheme="minorHAnsi"/>
          <w:color w:val="000000" w:themeColor="text1"/>
        </w:rPr>
        <w:t>Certificado de Depósito Bancário – CDB: CETIP (http://www.b3.com.br/</w:t>
      </w:r>
      <w:proofErr w:type="spellStart"/>
      <w:r w:rsidRPr="0095394F">
        <w:rPr>
          <w:rFonts w:asciiTheme="minorHAnsi" w:hAnsiTheme="minorHAnsi" w:cstheme="minorHAnsi"/>
          <w:color w:val="000000" w:themeColor="text1"/>
        </w:rPr>
        <w:t>pt_br</w:t>
      </w:r>
      <w:proofErr w:type="spellEnd"/>
      <w:r w:rsidRPr="0095394F">
        <w:rPr>
          <w:rFonts w:asciiTheme="minorHAnsi" w:hAnsiTheme="minorHAnsi" w:cstheme="minorHAnsi"/>
          <w:color w:val="000000" w:themeColor="text1"/>
        </w:rPr>
        <w:t>/).</w:t>
      </w:r>
    </w:p>
    <w:p w14:paraId="3F6AE46A" w14:textId="77777777" w:rsidR="00500AE2" w:rsidRPr="007E3D0B" w:rsidRDefault="00500AE2" w:rsidP="004F698B">
      <w:pPr>
        <w:pStyle w:val="Ttulo1"/>
        <w:rPr>
          <w:rFonts w:asciiTheme="minorHAnsi" w:hAnsiTheme="minorHAnsi" w:cstheme="minorHAnsi"/>
          <w:color w:val="000000" w:themeColor="text1"/>
          <w:sz w:val="22"/>
          <w:szCs w:val="22"/>
        </w:rPr>
      </w:pPr>
      <w:bookmarkStart w:id="127" w:name="_Toc118105167"/>
      <w:bookmarkStart w:id="128" w:name="_Toc213399441"/>
      <w:r w:rsidRPr="007E3D0B">
        <w:rPr>
          <w:rFonts w:asciiTheme="minorHAnsi" w:hAnsiTheme="minorHAnsi" w:cstheme="minorHAnsi"/>
          <w:color w:val="000000" w:themeColor="text1"/>
          <w:sz w:val="22"/>
          <w:szCs w:val="22"/>
        </w:rPr>
        <w:t>POLÍTICA DE ACOMPANHAMENTO E AVALIAÇÃO</w:t>
      </w:r>
      <w:bookmarkEnd w:id="127"/>
      <w:bookmarkEnd w:id="128"/>
    </w:p>
    <w:p w14:paraId="02C99871"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Para o acompanhamento e avaliação dos resultados da carteira de investimento e de seus respectivos fundos de investimentos, serão adotados metodologias e critérios que atendam conjuntamente as normativas expedidas pelos órgãos fiscalizadores e reguladores.</w:t>
      </w:r>
    </w:p>
    <w:p w14:paraId="0AE9EA0A"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Como forma de acompanhamento, será obrigatório a elaboração de relatórios mensais, que contemple no mínimo informações sobre a rentabilidade e riscos das diversas modalidades de operações realizadas quanto as aplicações dos recursos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bem como a aderência das alocações e dos processos decisórios relacionados.</w:t>
      </w:r>
    </w:p>
    <w:p w14:paraId="4AC443F2"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referido relatório mensal deverá ser acompanhado de parecer do Comitê de Investimentos, que deverá apresentar a análise dos resultados obtidos no mês de referência, inclusive suas considerações e deliberações.</w:t>
      </w:r>
    </w:p>
    <w:p w14:paraId="666F823B"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Comitê de Investimentos deverá apresentar no mínimo o plano de ação com o cronograma das atividades a serem desempenhadas relativas à gestão dos recursos.</w:t>
      </w:r>
    </w:p>
    <w:p w14:paraId="5EE3EE7E" w14:textId="77777777" w:rsidR="004651BB" w:rsidRPr="007E3D0B" w:rsidRDefault="00500AE2" w:rsidP="004651BB">
      <w:pPr>
        <w:rPr>
          <w:rFonts w:asciiTheme="minorHAnsi" w:hAnsiTheme="minorHAnsi" w:cstheme="minorHAnsi"/>
          <w:color w:val="000000" w:themeColor="text1"/>
        </w:rPr>
      </w:pPr>
      <w:r w:rsidRPr="007E3D0B">
        <w:rPr>
          <w:rFonts w:asciiTheme="minorHAnsi" w:hAnsiTheme="minorHAnsi" w:cstheme="minorHAnsi"/>
          <w:color w:val="000000" w:themeColor="text1"/>
        </w:rPr>
        <w:lastRenderedPageBreak/>
        <w:t>Deverão fazer parte dos documentos do processo de acompanhamento e avaliação:</w:t>
      </w:r>
    </w:p>
    <w:p w14:paraId="6941488A" w14:textId="77777777" w:rsidR="004651BB" w:rsidRPr="007E3D0B" w:rsidRDefault="00500AE2" w:rsidP="004651BB">
      <w:pPr>
        <w:pStyle w:val="PargrafodaLista"/>
        <w:numPr>
          <w:ilvl w:val="0"/>
          <w:numId w:val="35"/>
        </w:numPr>
        <w:rPr>
          <w:rFonts w:asciiTheme="minorHAnsi" w:hAnsiTheme="minorHAnsi" w:cstheme="minorHAnsi"/>
          <w:color w:val="000000" w:themeColor="text1"/>
        </w:rPr>
      </w:pPr>
      <w:r w:rsidRPr="007E3D0B">
        <w:rPr>
          <w:rFonts w:asciiTheme="minorHAnsi" w:hAnsiTheme="minorHAnsi" w:cstheme="minorHAnsi"/>
          <w:color w:val="000000" w:themeColor="text1"/>
        </w:rPr>
        <w:t>Editorial sobre o panorama econômico relativo à semana e mês anterior;</w:t>
      </w:r>
    </w:p>
    <w:p w14:paraId="0888BE23" w14:textId="77777777" w:rsidR="004651BB" w:rsidRPr="007E3D0B" w:rsidRDefault="004651BB" w:rsidP="004651BB">
      <w:pPr>
        <w:pStyle w:val="PargrafodaLista"/>
        <w:rPr>
          <w:rFonts w:asciiTheme="minorHAnsi" w:hAnsiTheme="minorHAnsi" w:cstheme="minorHAnsi"/>
          <w:color w:val="000000" w:themeColor="text1"/>
        </w:rPr>
      </w:pPr>
    </w:p>
    <w:p w14:paraId="00F2FCB1" w14:textId="77777777" w:rsidR="004651BB" w:rsidRPr="007E3D0B" w:rsidRDefault="00500AE2" w:rsidP="004651BB">
      <w:pPr>
        <w:pStyle w:val="PargrafodaLista"/>
        <w:numPr>
          <w:ilvl w:val="0"/>
          <w:numId w:val="35"/>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Relatório Mensal que contém: análise qualitativa da situação da carteira em relação à composição, rentabilidade, enquadramentos, aderência à Política de Investimentos, riscos; análise quantitativa baseada em dados históricos e ilustrada por comparativos gráficos; cumprindo a exigência da Portaria </w:t>
      </w:r>
      <w:r w:rsidR="000A5628" w:rsidRPr="007E3D0B">
        <w:rPr>
          <w:rFonts w:asciiTheme="minorHAnsi" w:hAnsiTheme="minorHAnsi" w:cstheme="minorHAnsi"/>
          <w:color w:val="000000" w:themeColor="text1"/>
        </w:rPr>
        <w:t xml:space="preserve">MTP nº </w:t>
      </w:r>
      <w:r w:rsidRPr="007E3D0B">
        <w:rPr>
          <w:rFonts w:asciiTheme="minorHAnsi" w:hAnsiTheme="minorHAnsi" w:cstheme="minorHAnsi"/>
          <w:color w:val="000000" w:themeColor="text1"/>
        </w:rPr>
        <w:t>1.467</w:t>
      </w:r>
      <w:r w:rsidR="008D76B6" w:rsidRPr="007E3D0B">
        <w:rPr>
          <w:rFonts w:asciiTheme="minorHAnsi" w:hAnsiTheme="minorHAnsi" w:cstheme="minorHAnsi"/>
          <w:color w:val="000000" w:themeColor="text1"/>
        </w:rPr>
        <w:t>/</w:t>
      </w:r>
      <w:r w:rsidRPr="007E3D0B">
        <w:rPr>
          <w:rFonts w:asciiTheme="minorHAnsi" w:hAnsiTheme="minorHAnsi" w:cstheme="minorHAnsi"/>
          <w:color w:val="000000" w:themeColor="text1"/>
        </w:rPr>
        <w:t>2022.</w:t>
      </w:r>
    </w:p>
    <w:p w14:paraId="04D4B9B8" w14:textId="77777777" w:rsidR="004651BB" w:rsidRPr="007E3D0B" w:rsidRDefault="004651BB" w:rsidP="004651BB">
      <w:pPr>
        <w:pStyle w:val="PargrafodaLista"/>
        <w:rPr>
          <w:rFonts w:asciiTheme="minorHAnsi" w:hAnsiTheme="minorHAnsi" w:cstheme="minorHAnsi"/>
          <w:color w:val="000000" w:themeColor="text1"/>
        </w:rPr>
      </w:pPr>
    </w:p>
    <w:p w14:paraId="6FE569C9" w14:textId="77777777" w:rsidR="004651BB" w:rsidRPr="007E3D0B" w:rsidRDefault="00500AE2" w:rsidP="004651BB">
      <w:pPr>
        <w:pStyle w:val="PargrafodaLista"/>
        <w:numPr>
          <w:ilvl w:val="0"/>
          <w:numId w:val="35"/>
        </w:numPr>
        <w:rPr>
          <w:rFonts w:asciiTheme="minorHAnsi" w:hAnsiTheme="minorHAnsi" w:cstheme="minorHAnsi"/>
          <w:color w:val="000000" w:themeColor="text1"/>
        </w:rPr>
      </w:pPr>
      <w:r w:rsidRPr="007E3D0B">
        <w:rPr>
          <w:rFonts w:asciiTheme="minorHAnsi" w:hAnsiTheme="minorHAnsi" w:cstheme="minorHAnsi"/>
          <w:color w:val="000000" w:themeColor="text1"/>
        </w:rPr>
        <w:t xml:space="preserve">Relatório de Análise de Fundos de Investimentos classificados a </w:t>
      </w:r>
      <w:r w:rsidR="00D0113C" w:rsidRPr="007E3D0B">
        <w:rPr>
          <w:rFonts w:asciiTheme="minorHAnsi" w:hAnsiTheme="minorHAnsi" w:cstheme="minorHAnsi"/>
          <w:color w:val="000000" w:themeColor="text1"/>
        </w:rPr>
        <w:t xml:space="preserve">Resolução </w:t>
      </w:r>
      <w:r w:rsidRPr="007E3D0B">
        <w:rPr>
          <w:rFonts w:asciiTheme="minorHAnsi" w:hAnsiTheme="minorHAnsi" w:cstheme="minorHAnsi"/>
          <w:color w:val="000000" w:themeColor="text1"/>
        </w:rPr>
        <w:t xml:space="preserve">CVM </w:t>
      </w:r>
      <w:r w:rsidR="00D0113C" w:rsidRPr="007E3D0B">
        <w:rPr>
          <w:rFonts w:asciiTheme="minorHAnsi" w:hAnsiTheme="minorHAnsi" w:cstheme="minorHAnsi"/>
          <w:color w:val="000000" w:themeColor="text1"/>
        </w:rPr>
        <w:t>175/2022</w:t>
      </w:r>
      <w:r w:rsidRPr="007E3D0B">
        <w:rPr>
          <w:rFonts w:asciiTheme="minorHAnsi" w:hAnsiTheme="minorHAnsi" w:cstheme="minorHAnsi"/>
          <w:color w:val="000000" w:themeColor="text1"/>
        </w:rPr>
        <w:t xml:space="preserve"> que contém: análise de regulamento, enquadramento, prospecto (quando houver) e parecer opinativo;</w:t>
      </w:r>
    </w:p>
    <w:p w14:paraId="4F183438" w14:textId="77777777" w:rsidR="004651BB" w:rsidRPr="007E3D0B" w:rsidRDefault="004651BB" w:rsidP="004651BB">
      <w:pPr>
        <w:pStyle w:val="PargrafodaLista"/>
        <w:rPr>
          <w:rFonts w:asciiTheme="minorHAnsi" w:hAnsiTheme="minorHAnsi" w:cstheme="minorHAnsi"/>
          <w:color w:val="000000" w:themeColor="text1"/>
        </w:rPr>
      </w:pPr>
    </w:p>
    <w:p w14:paraId="6E982E05" w14:textId="77777777" w:rsidR="004651BB" w:rsidRPr="007E3D0B" w:rsidRDefault="00500AE2" w:rsidP="004651BB">
      <w:pPr>
        <w:pStyle w:val="PargrafodaLista"/>
        <w:numPr>
          <w:ilvl w:val="0"/>
          <w:numId w:val="35"/>
        </w:numPr>
        <w:rPr>
          <w:rFonts w:asciiTheme="minorHAnsi" w:hAnsiTheme="minorHAnsi" w:cstheme="minorHAnsi"/>
          <w:color w:val="000000" w:themeColor="text1"/>
        </w:rPr>
      </w:pPr>
      <w:r w:rsidRPr="007E3D0B">
        <w:rPr>
          <w:rFonts w:asciiTheme="minorHAnsi" w:hAnsiTheme="minorHAnsi" w:cstheme="minorHAnsi"/>
          <w:color w:val="000000" w:themeColor="text1"/>
        </w:rPr>
        <w:t>Relatório de Análise de Fundos de Investimentos classificados como “Estruturados” que contém: análise de regulamento, enquadramento, prospecto (quando houver) e parecer opinativo e</w:t>
      </w:r>
    </w:p>
    <w:p w14:paraId="5F2A6250" w14:textId="77777777" w:rsidR="004651BB" w:rsidRPr="007E3D0B" w:rsidRDefault="004651BB" w:rsidP="004651BB">
      <w:pPr>
        <w:pStyle w:val="PargrafodaLista"/>
        <w:rPr>
          <w:rFonts w:asciiTheme="minorHAnsi" w:hAnsiTheme="minorHAnsi" w:cstheme="minorHAnsi"/>
          <w:color w:val="000000" w:themeColor="text1"/>
        </w:rPr>
      </w:pPr>
    </w:p>
    <w:p w14:paraId="43B11E8E" w14:textId="77A8BAA8" w:rsidR="00500AE2" w:rsidRDefault="00500AE2" w:rsidP="00500AE2">
      <w:pPr>
        <w:pStyle w:val="PargrafodaLista"/>
        <w:numPr>
          <w:ilvl w:val="0"/>
          <w:numId w:val="35"/>
        </w:numPr>
        <w:jc w:val="left"/>
        <w:rPr>
          <w:rFonts w:asciiTheme="minorHAnsi" w:hAnsiTheme="minorHAnsi" w:cstheme="minorHAnsi"/>
          <w:color w:val="000000" w:themeColor="text1"/>
        </w:rPr>
      </w:pPr>
      <w:r w:rsidRPr="0095394F">
        <w:rPr>
          <w:rFonts w:asciiTheme="minorHAnsi" w:hAnsiTheme="minorHAnsi" w:cstheme="minorHAnsi"/>
          <w:color w:val="000000" w:themeColor="text1"/>
        </w:rPr>
        <w:t>Relatório de Análise da Carteira de Investimentos com parecer opinativo sobre estratégia tática.</w:t>
      </w:r>
    </w:p>
    <w:p w14:paraId="771EE13F" w14:textId="77777777" w:rsidR="0095394F" w:rsidRPr="0095394F" w:rsidRDefault="0095394F" w:rsidP="0095394F">
      <w:pPr>
        <w:pStyle w:val="PargrafodaLista"/>
        <w:rPr>
          <w:rFonts w:asciiTheme="minorHAnsi" w:hAnsiTheme="minorHAnsi" w:cstheme="minorHAnsi"/>
          <w:color w:val="000000" w:themeColor="text1"/>
        </w:rPr>
      </w:pPr>
    </w:p>
    <w:p w14:paraId="6A4F167E" w14:textId="77777777" w:rsidR="0095394F" w:rsidRPr="0095394F" w:rsidRDefault="0095394F" w:rsidP="00500AE2">
      <w:pPr>
        <w:pStyle w:val="PargrafodaLista"/>
        <w:numPr>
          <w:ilvl w:val="0"/>
          <w:numId w:val="35"/>
        </w:numPr>
        <w:jc w:val="left"/>
        <w:rPr>
          <w:rFonts w:asciiTheme="minorHAnsi" w:hAnsiTheme="minorHAnsi" w:cstheme="minorHAnsi"/>
          <w:color w:val="000000" w:themeColor="text1"/>
        </w:rPr>
      </w:pPr>
    </w:p>
    <w:p w14:paraId="7CEE0C84" w14:textId="77777777" w:rsidR="00500AE2" w:rsidRPr="007E3D0B" w:rsidRDefault="00500AE2" w:rsidP="004F698B">
      <w:pPr>
        <w:pStyle w:val="Ttulo1"/>
        <w:rPr>
          <w:rFonts w:asciiTheme="minorHAnsi" w:hAnsiTheme="minorHAnsi" w:cstheme="minorHAnsi"/>
          <w:color w:val="000000" w:themeColor="text1"/>
          <w:sz w:val="22"/>
          <w:szCs w:val="22"/>
        </w:rPr>
      </w:pPr>
      <w:bookmarkStart w:id="129" w:name="_Toc118105168"/>
      <w:bookmarkStart w:id="130" w:name="_Toc213399442"/>
      <w:r w:rsidRPr="007E3D0B">
        <w:rPr>
          <w:rFonts w:asciiTheme="minorHAnsi" w:hAnsiTheme="minorHAnsi" w:cstheme="minorHAnsi"/>
          <w:color w:val="000000" w:themeColor="text1"/>
          <w:sz w:val="22"/>
          <w:szCs w:val="22"/>
        </w:rPr>
        <w:t>PLANO DE CONTINGÊNCIA</w:t>
      </w:r>
      <w:bookmarkEnd w:id="129"/>
      <w:bookmarkEnd w:id="130"/>
    </w:p>
    <w:p w14:paraId="53632979"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O Plano de Contingência estabelecido, contempla a abrangência exigida pela Resolução CMN n° 4.963/2021, em seu Art. 4°, inciso VIII, ou seja, entende-se por “contingência” no âmbito desta Política de Investimentos a </w:t>
      </w:r>
      <w:r w:rsidRPr="007E3D0B">
        <w:rPr>
          <w:rFonts w:asciiTheme="minorHAnsi" w:hAnsiTheme="minorHAnsi" w:cstheme="minorHAnsi"/>
          <w:b/>
          <w:color w:val="000000" w:themeColor="text1"/>
        </w:rPr>
        <w:t>excessiva exposição a riscos e potenciais perdas dos recursos</w:t>
      </w:r>
      <w:r w:rsidRPr="007E3D0B">
        <w:rPr>
          <w:rFonts w:asciiTheme="minorHAnsi" w:hAnsiTheme="minorHAnsi" w:cstheme="minorHAnsi"/>
          <w:color w:val="000000" w:themeColor="text1"/>
        </w:rPr>
        <w:t>.</w:t>
      </w:r>
    </w:p>
    <w:p w14:paraId="1E3AFB2C"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Com a identificação clara das contingências, chegamos ao desenvolvimento do plano no processo dos investimentos, que abrange não somente a Diretoria Executiva e Gestor dos Recursos, como também o Comitê de Investimentos e o Conselho Deliberativo.</w:t>
      </w:r>
    </w:p>
    <w:p w14:paraId="57C29642" w14:textId="77777777" w:rsidR="00635488" w:rsidRPr="007E3D0B" w:rsidRDefault="00635488" w:rsidP="00500AE2">
      <w:pPr>
        <w:rPr>
          <w:rFonts w:asciiTheme="minorHAnsi" w:hAnsiTheme="minorHAnsi" w:cstheme="minorHAnsi"/>
          <w:color w:val="000000" w:themeColor="text1"/>
        </w:rPr>
      </w:pPr>
    </w:p>
    <w:p w14:paraId="5F0B428F" w14:textId="77777777" w:rsidR="00500AE2" w:rsidRPr="007E3D0B" w:rsidRDefault="006566DB" w:rsidP="00A468C9">
      <w:pPr>
        <w:pStyle w:val="Ttulo2"/>
        <w:rPr>
          <w:rFonts w:asciiTheme="minorHAnsi" w:hAnsiTheme="minorHAnsi" w:cstheme="minorHAnsi"/>
          <w:color w:val="000000" w:themeColor="text1"/>
          <w:sz w:val="22"/>
          <w:szCs w:val="22"/>
        </w:rPr>
      </w:pPr>
      <w:bookmarkStart w:id="131" w:name="_Toc118105169"/>
      <w:r w:rsidRPr="007E3D0B">
        <w:rPr>
          <w:rFonts w:asciiTheme="minorHAnsi" w:hAnsiTheme="minorHAnsi" w:cstheme="minorHAnsi"/>
          <w:color w:val="000000" w:themeColor="text1"/>
          <w:sz w:val="22"/>
          <w:szCs w:val="22"/>
        </w:rPr>
        <w:t>Exposição</w:t>
      </w:r>
      <w:r w:rsidR="00FD5D67" w:rsidRPr="007E3D0B">
        <w:rPr>
          <w:rFonts w:asciiTheme="minorHAnsi" w:hAnsiTheme="minorHAnsi" w:cstheme="minorHAnsi"/>
          <w:color w:val="000000" w:themeColor="text1"/>
          <w:sz w:val="22"/>
          <w:szCs w:val="22"/>
        </w:rPr>
        <w:t xml:space="preserve"> Excessiva</w:t>
      </w:r>
      <w:r w:rsidRPr="007E3D0B">
        <w:rPr>
          <w:rFonts w:asciiTheme="minorHAnsi" w:hAnsiTheme="minorHAnsi" w:cstheme="minorHAnsi"/>
          <w:color w:val="000000" w:themeColor="text1"/>
          <w:sz w:val="22"/>
          <w:szCs w:val="22"/>
        </w:rPr>
        <w:t xml:space="preserve"> a Risco</w:t>
      </w:r>
      <w:bookmarkEnd w:id="131"/>
    </w:p>
    <w:p w14:paraId="4E0546F5"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 xml:space="preserve">Entende-se como Exposição </w:t>
      </w:r>
      <w:r w:rsidR="00D0113C" w:rsidRPr="007E3D0B">
        <w:rPr>
          <w:rFonts w:asciiTheme="minorHAnsi" w:hAnsiTheme="minorHAnsi" w:cstheme="minorHAnsi"/>
          <w:color w:val="000000" w:themeColor="text1"/>
        </w:rPr>
        <w:t>ao</w:t>
      </w:r>
      <w:r w:rsidRPr="007E3D0B">
        <w:rPr>
          <w:rFonts w:asciiTheme="minorHAnsi" w:hAnsiTheme="minorHAnsi" w:cstheme="minorHAnsi"/>
          <w:color w:val="000000" w:themeColor="text1"/>
        </w:rPr>
        <w:t xml:space="preserve"> Risco os investimentos que direcionam a carteira de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color w:val="000000" w:themeColor="text1"/>
        </w:rPr>
        <w:t xml:space="preserve"> para o não cumprimento dos limites, requisitos e normas estabelecidos aos Regimes Próprios de Previdência Social.</w:t>
      </w:r>
    </w:p>
    <w:p w14:paraId="3B800B22"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O não cumprimento dos limites, requisitos e normas estabelecidos, podem ser classificados como sendo:</w:t>
      </w:r>
    </w:p>
    <w:p w14:paraId="3A37E0EF" w14:textId="77777777" w:rsidR="00500AE2" w:rsidRPr="007E3D0B" w:rsidRDefault="00500AE2" w:rsidP="000160BE">
      <w:pPr>
        <w:pStyle w:val="PargrafodaLista"/>
        <w:numPr>
          <w:ilvl w:val="0"/>
          <w:numId w:val="2"/>
        </w:numPr>
        <w:rPr>
          <w:rFonts w:asciiTheme="minorHAnsi" w:hAnsiTheme="minorHAnsi" w:cstheme="minorHAnsi"/>
          <w:color w:val="000000" w:themeColor="text1"/>
        </w:rPr>
      </w:pPr>
      <w:r w:rsidRPr="007E3D0B">
        <w:rPr>
          <w:rFonts w:asciiTheme="minorHAnsi" w:hAnsiTheme="minorHAnsi" w:cstheme="minorHAnsi"/>
          <w:color w:val="000000" w:themeColor="text1"/>
        </w:rPr>
        <w:t>Desenquadramento da Carteira de Investimentos;</w:t>
      </w:r>
    </w:p>
    <w:p w14:paraId="0CBCF28A" w14:textId="77777777" w:rsidR="00500AE2" w:rsidRPr="007E3D0B" w:rsidRDefault="00500AE2" w:rsidP="000160BE">
      <w:pPr>
        <w:pStyle w:val="PargrafodaLista"/>
        <w:numPr>
          <w:ilvl w:val="0"/>
          <w:numId w:val="2"/>
        </w:numPr>
        <w:rPr>
          <w:rFonts w:asciiTheme="minorHAnsi" w:hAnsiTheme="minorHAnsi" w:cstheme="minorHAnsi"/>
          <w:color w:val="000000" w:themeColor="text1"/>
        </w:rPr>
      </w:pPr>
      <w:r w:rsidRPr="007E3D0B">
        <w:rPr>
          <w:rFonts w:asciiTheme="minorHAnsi" w:hAnsiTheme="minorHAnsi" w:cstheme="minorHAnsi"/>
          <w:color w:val="000000" w:themeColor="text1"/>
        </w:rPr>
        <w:t>Desenquadramento do Fundo de Investimento;</w:t>
      </w:r>
    </w:p>
    <w:p w14:paraId="47B15713" w14:textId="77777777" w:rsidR="00500AE2" w:rsidRPr="007E3D0B" w:rsidRDefault="00500AE2" w:rsidP="000160BE">
      <w:pPr>
        <w:pStyle w:val="PargrafodaLista"/>
        <w:numPr>
          <w:ilvl w:val="0"/>
          <w:numId w:val="2"/>
        </w:numPr>
        <w:rPr>
          <w:rFonts w:asciiTheme="minorHAnsi" w:hAnsiTheme="minorHAnsi" w:cstheme="minorHAnsi"/>
          <w:color w:val="000000" w:themeColor="text1"/>
        </w:rPr>
      </w:pPr>
      <w:r w:rsidRPr="007E3D0B">
        <w:rPr>
          <w:rFonts w:asciiTheme="minorHAnsi" w:hAnsiTheme="minorHAnsi" w:cstheme="minorHAnsi"/>
          <w:color w:val="000000" w:themeColor="text1"/>
        </w:rPr>
        <w:t>Desenquadramento da Política de Investimentos;</w:t>
      </w:r>
    </w:p>
    <w:p w14:paraId="79663D8E" w14:textId="77777777" w:rsidR="00500AE2" w:rsidRPr="007E3D0B" w:rsidRDefault="00500AE2" w:rsidP="000160BE">
      <w:pPr>
        <w:pStyle w:val="PargrafodaLista"/>
        <w:numPr>
          <w:ilvl w:val="0"/>
          <w:numId w:val="2"/>
        </w:numPr>
        <w:rPr>
          <w:rFonts w:asciiTheme="minorHAnsi" w:hAnsiTheme="minorHAnsi" w:cstheme="minorHAnsi"/>
          <w:color w:val="000000" w:themeColor="text1"/>
        </w:rPr>
      </w:pPr>
      <w:r w:rsidRPr="007E3D0B">
        <w:rPr>
          <w:rFonts w:asciiTheme="minorHAnsi" w:hAnsiTheme="minorHAnsi" w:cstheme="minorHAnsi"/>
          <w:color w:val="000000" w:themeColor="text1"/>
        </w:rPr>
        <w:t>Movimentações Financeiras não autorizadas;</w:t>
      </w:r>
    </w:p>
    <w:p w14:paraId="62545FA1" w14:textId="77777777" w:rsidR="00500AE2" w:rsidRPr="007E3D0B" w:rsidRDefault="00500AE2" w:rsidP="00500AE2">
      <w:pPr>
        <w:rPr>
          <w:rFonts w:asciiTheme="minorHAnsi" w:hAnsiTheme="minorHAnsi" w:cstheme="minorHAnsi"/>
          <w:color w:val="000000" w:themeColor="text1"/>
        </w:rPr>
      </w:pPr>
      <w:r w:rsidRPr="007E3D0B">
        <w:rPr>
          <w:rFonts w:asciiTheme="minorHAnsi" w:hAnsiTheme="minorHAnsi" w:cstheme="minorHAnsi"/>
          <w:color w:val="000000" w:themeColor="text1"/>
        </w:rPr>
        <w:t>Caso identificado o não cumprimento dos itens descritos, ficam os responsáveis pelos investimentos, devidamente definidos nesta Política de Investimentos, obrigados a:</w:t>
      </w:r>
    </w:p>
    <w:tbl>
      <w:tblPr>
        <w:tblStyle w:val="Tabelacomgrade"/>
        <w:tblW w:w="5000" w:type="pct"/>
        <w:tblLook w:val="04A0" w:firstRow="1" w:lastRow="0" w:firstColumn="1" w:lastColumn="0" w:noHBand="0" w:noVBand="1"/>
      </w:tblPr>
      <w:tblGrid>
        <w:gridCol w:w="3246"/>
        <w:gridCol w:w="3218"/>
        <w:gridCol w:w="3164"/>
      </w:tblGrid>
      <w:tr w:rsidR="007E3D0B" w:rsidRPr="007E3D0B" w14:paraId="679DA284" w14:textId="77777777" w:rsidTr="00B41638">
        <w:tc>
          <w:tcPr>
            <w:tcW w:w="1686" w:type="pct"/>
          </w:tcPr>
          <w:p w14:paraId="59E584D2"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lastRenderedPageBreak/>
              <w:t>Contingências</w:t>
            </w:r>
          </w:p>
        </w:tc>
        <w:tc>
          <w:tcPr>
            <w:tcW w:w="1671" w:type="pct"/>
          </w:tcPr>
          <w:p w14:paraId="55254441"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Medidas</w:t>
            </w:r>
          </w:p>
        </w:tc>
        <w:tc>
          <w:tcPr>
            <w:tcW w:w="1643" w:type="pct"/>
          </w:tcPr>
          <w:p w14:paraId="11B854E5"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Resolução</w:t>
            </w:r>
          </w:p>
        </w:tc>
      </w:tr>
      <w:tr w:rsidR="007E3D0B" w:rsidRPr="007E3D0B" w14:paraId="6D0E464E" w14:textId="77777777" w:rsidTr="00B41638">
        <w:tc>
          <w:tcPr>
            <w:tcW w:w="1686" w:type="pct"/>
            <w:vAlign w:val="center"/>
          </w:tcPr>
          <w:p w14:paraId="25708D2D"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1 – Desenquadramento da Carteira de Investimentos</w:t>
            </w:r>
          </w:p>
        </w:tc>
        <w:tc>
          <w:tcPr>
            <w:tcW w:w="1671" w:type="pct"/>
          </w:tcPr>
          <w:p w14:paraId="69E4CE69"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a) Apuração das causas acompanhado de relatório;</w:t>
            </w:r>
          </w:p>
          <w:p w14:paraId="09CF94E6"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b) Identificação dos envolvidos a contar do início do processo;</w:t>
            </w:r>
          </w:p>
          <w:p w14:paraId="7B8FED9A"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 Estudo Técnico com a viabilidade para o enquadramento.</w:t>
            </w:r>
          </w:p>
        </w:tc>
        <w:tc>
          <w:tcPr>
            <w:tcW w:w="1643" w:type="pct"/>
            <w:vAlign w:val="center"/>
          </w:tcPr>
          <w:p w14:paraId="5B9B3A09"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Curto, Médio e Longo Prazo</w:t>
            </w:r>
          </w:p>
        </w:tc>
      </w:tr>
      <w:tr w:rsidR="007E3D0B" w:rsidRPr="007E3D0B" w14:paraId="3D050D1F" w14:textId="77777777" w:rsidTr="00B41638">
        <w:tc>
          <w:tcPr>
            <w:tcW w:w="1686" w:type="pct"/>
            <w:vAlign w:val="center"/>
          </w:tcPr>
          <w:p w14:paraId="57AC12C6"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2 – Desenquadramento do Fundo de Investimento</w:t>
            </w:r>
          </w:p>
        </w:tc>
        <w:tc>
          <w:tcPr>
            <w:tcW w:w="1671" w:type="pct"/>
          </w:tcPr>
          <w:p w14:paraId="7F591A41"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a) Apuração das causas acompanhado de relatório;</w:t>
            </w:r>
          </w:p>
          <w:p w14:paraId="18513823"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b) Identificação dos envolvidos a contar do início do processo;</w:t>
            </w:r>
          </w:p>
          <w:p w14:paraId="7EE34864"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 Estudo Técnico com a viabilidade para o enquadramento.</w:t>
            </w:r>
          </w:p>
        </w:tc>
        <w:tc>
          <w:tcPr>
            <w:tcW w:w="1643" w:type="pct"/>
            <w:vAlign w:val="center"/>
          </w:tcPr>
          <w:p w14:paraId="705D0E93"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Curto, Médio e Longo Prazo</w:t>
            </w:r>
          </w:p>
        </w:tc>
      </w:tr>
      <w:tr w:rsidR="007E3D0B" w:rsidRPr="007E3D0B" w14:paraId="3178FD4F" w14:textId="77777777" w:rsidTr="00B41638">
        <w:tc>
          <w:tcPr>
            <w:tcW w:w="1686" w:type="pct"/>
            <w:vAlign w:val="center"/>
          </w:tcPr>
          <w:p w14:paraId="05D53183"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3 – Desenquadramento da Política de Investimentos</w:t>
            </w:r>
          </w:p>
        </w:tc>
        <w:tc>
          <w:tcPr>
            <w:tcW w:w="1671" w:type="pct"/>
          </w:tcPr>
          <w:p w14:paraId="5ED91A7F"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a) Apuração das causas acompanhado de relatório;</w:t>
            </w:r>
          </w:p>
          <w:p w14:paraId="49DA64E9"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b) Identificação dos envolvidos a contar do início do processo;</w:t>
            </w:r>
          </w:p>
          <w:p w14:paraId="5A5E1243"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 Estudo Técnico com a viabilidade para o enquadramento.</w:t>
            </w:r>
          </w:p>
        </w:tc>
        <w:tc>
          <w:tcPr>
            <w:tcW w:w="1643" w:type="pct"/>
            <w:vAlign w:val="center"/>
          </w:tcPr>
          <w:p w14:paraId="65EF8973"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Curto, Médio e Longo Prazo</w:t>
            </w:r>
          </w:p>
        </w:tc>
      </w:tr>
      <w:tr w:rsidR="00500AE2" w:rsidRPr="007E3D0B" w14:paraId="12AA9DC4" w14:textId="77777777" w:rsidTr="00B41638">
        <w:tc>
          <w:tcPr>
            <w:tcW w:w="1686" w:type="pct"/>
            <w:vAlign w:val="center"/>
          </w:tcPr>
          <w:p w14:paraId="099A9532"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4 – Movimentações Financeiras não autorizadas</w:t>
            </w:r>
          </w:p>
        </w:tc>
        <w:tc>
          <w:tcPr>
            <w:tcW w:w="1671" w:type="pct"/>
          </w:tcPr>
          <w:p w14:paraId="0A5A5C4F"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a) Apuração das causas acompanhado de relatório;</w:t>
            </w:r>
          </w:p>
          <w:p w14:paraId="4793FE91"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b) Identificação dos envolvidos a contar do início do processo;</w:t>
            </w:r>
          </w:p>
          <w:p w14:paraId="1399DF8A"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 Estudo Técnico com a viabilidade para resolução;</w:t>
            </w:r>
          </w:p>
          <w:p w14:paraId="112162F7"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d) Ações e Medidas, se necessárias, judiciais para a responsabilização dos responsáveis.</w:t>
            </w:r>
          </w:p>
        </w:tc>
        <w:tc>
          <w:tcPr>
            <w:tcW w:w="1643" w:type="pct"/>
            <w:vAlign w:val="center"/>
          </w:tcPr>
          <w:p w14:paraId="48DE4930" w14:textId="77777777" w:rsidR="00500AE2" w:rsidRPr="007E3D0B" w:rsidRDefault="00500AE2" w:rsidP="00F91A93">
            <w:pPr>
              <w:spacing w:before="0" w:after="0"/>
              <w:jc w:val="left"/>
              <w:rPr>
                <w:rFonts w:asciiTheme="minorHAnsi" w:hAnsiTheme="minorHAnsi" w:cstheme="minorHAnsi"/>
                <w:color w:val="000000" w:themeColor="text1"/>
              </w:rPr>
            </w:pPr>
            <w:r w:rsidRPr="007E3D0B">
              <w:rPr>
                <w:rFonts w:asciiTheme="minorHAnsi" w:hAnsiTheme="minorHAnsi" w:cstheme="minorHAnsi"/>
                <w:color w:val="000000" w:themeColor="text1"/>
              </w:rPr>
              <w:t>Curto, Médio e Longo Prazo</w:t>
            </w:r>
          </w:p>
        </w:tc>
      </w:tr>
    </w:tbl>
    <w:p w14:paraId="36732E30" w14:textId="77777777" w:rsidR="00500AE2" w:rsidRPr="007E3D0B" w:rsidRDefault="00500AE2" w:rsidP="00F91A93">
      <w:pPr>
        <w:rPr>
          <w:rFonts w:asciiTheme="minorHAnsi" w:hAnsiTheme="minorHAnsi" w:cstheme="minorHAnsi"/>
          <w:color w:val="000000" w:themeColor="text1"/>
        </w:rPr>
      </w:pPr>
    </w:p>
    <w:p w14:paraId="7BBFB3F0" w14:textId="77777777" w:rsidR="00500AE2" w:rsidRPr="007E3D0B" w:rsidRDefault="006566DB" w:rsidP="00A468C9">
      <w:pPr>
        <w:pStyle w:val="Ttulo2"/>
        <w:rPr>
          <w:rFonts w:asciiTheme="minorHAnsi" w:hAnsiTheme="minorHAnsi" w:cstheme="minorHAnsi"/>
          <w:color w:val="000000" w:themeColor="text1"/>
          <w:sz w:val="22"/>
          <w:szCs w:val="22"/>
        </w:rPr>
      </w:pPr>
      <w:bookmarkStart w:id="132" w:name="_Toc118105170"/>
      <w:r w:rsidRPr="007E3D0B">
        <w:rPr>
          <w:rFonts w:asciiTheme="minorHAnsi" w:hAnsiTheme="minorHAnsi" w:cstheme="minorHAnsi"/>
          <w:color w:val="000000" w:themeColor="text1"/>
          <w:sz w:val="22"/>
          <w:szCs w:val="22"/>
        </w:rPr>
        <w:t>Potenciais Perdas dos Recursos</w:t>
      </w:r>
      <w:bookmarkEnd w:id="132"/>
    </w:p>
    <w:p w14:paraId="0466E97D" w14:textId="77777777" w:rsidR="00500AE2" w:rsidRPr="007E3D0B" w:rsidRDefault="00500AE2" w:rsidP="00F91A93">
      <w:pPr>
        <w:rPr>
          <w:rFonts w:asciiTheme="minorHAnsi" w:hAnsiTheme="minorHAnsi" w:cstheme="minorHAnsi"/>
          <w:color w:val="000000" w:themeColor="text1"/>
        </w:rPr>
      </w:pPr>
      <w:r w:rsidRPr="007E3D0B">
        <w:rPr>
          <w:rFonts w:asciiTheme="minorHAnsi" w:hAnsiTheme="minorHAnsi" w:cstheme="minorHAnsi"/>
          <w:color w:val="000000" w:themeColor="text1"/>
        </w:rPr>
        <w:t>Entende como potenciais perdas dos recursos os volumes expressivos provenientes de fundos de investimentos diretamente atrelados aos riscos de mercado, crédito e liquidez.</w:t>
      </w:r>
    </w:p>
    <w:tbl>
      <w:tblPr>
        <w:tblStyle w:val="Tabelacomgrade"/>
        <w:tblW w:w="5000" w:type="pct"/>
        <w:tblLook w:val="04A0" w:firstRow="1" w:lastRow="0" w:firstColumn="1" w:lastColumn="0" w:noHBand="0" w:noVBand="1"/>
      </w:tblPr>
      <w:tblGrid>
        <w:gridCol w:w="3246"/>
        <w:gridCol w:w="3218"/>
        <w:gridCol w:w="3164"/>
      </w:tblGrid>
      <w:tr w:rsidR="007E3D0B" w:rsidRPr="007E3D0B" w14:paraId="4DFF4221" w14:textId="77777777" w:rsidTr="00B41638">
        <w:tc>
          <w:tcPr>
            <w:tcW w:w="1686" w:type="pct"/>
          </w:tcPr>
          <w:p w14:paraId="7B181814"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Contingências</w:t>
            </w:r>
          </w:p>
        </w:tc>
        <w:tc>
          <w:tcPr>
            <w:tcW w:w="1671" w:type="pct"/>
          </w:tcPr>
          <w:p w14:paraId="6660B5E4"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Medidas</w:t>
            </w:r>
          </w:p>
        </w:tc>
        <w:tc>
          <w:tcPr>
            <w:tcW w:w="1643" w:type="pct"/>
          </w:tcPr>
          <w:p w14:paraId="272EEB22" w14:textId="77777777" w:rsidR="00500AE2" w:rsidRPr="007E3D0B" w:rsidRDefault="00500AE2" w:rsidP="00F91A93">
            <w:pPr>
              <w:spacing w:before="0" w:after="0"/>
              <w:jc w:val="center"/>
              <w:rPr>
                <w:rFonts w:asciiTheme="minorHAnsi" w:hAnsiTheme="minorHAnsi" w:cstheme="minorHAnsi"/>
                <w:b/>
                <w:color w:val="000000" w:themeColor="text1"/>
              </w:rPr>
            </w:pPr>
            <w:r w:rsidRPr="007E3D0B">
              <w:rPr>
                <w:rFonts w:asciiTheme="minorHAnsi" w:hAnsiTheme="minorHAnsi" w:cstheme="minorHAnsi"/>
                <w:b/>
                <w:color w:val="000000" w:themeColor="text1"/>
              </w:rPr>
              <w:t>Resolução</w:t>
            </w:r>
          </w:p>
        </w:tc>
      </w:tr>
      <w:tr w:rsidR="007E3D0B" w:rsidRPr="007E3D0B" w14:paraId="52E9A6BA" w14:textId="77777777" w:rsidTr="00B41638">
        <w:tc>
          <w:tcPr>
            <w:tcW w:w="1686" w:type="pct"/>
          </w:tcPr>
          <w:p w14:paraId="5498D077"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1 – Potenciais perdas de recursos</w:t>
            </w:r>
          </w:p>
        </w:tc>
        <w:tc>
          <w:tcPr>
            <w:tcW w:w="1671" w:type="pct"/>
          </w:tcPr>
          <w:p w14:paraId="05825554"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a) Apuração das causas acompanhado de relatório;</w:t>
            </w:r>
          </w:p>
          <w:p w14:paraId="741020CC"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b) Identificação dos envolvidos a contar do início do processo;</w:t>
            </w:r>
          </w:p>
          <w:p w14:paraId="29C73589"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 Estudo Técnico com a viabilidade administrativa, financeira e se for o caso, jurídica.</w:t>
            </w:r>
          </w:p>
        </w:tc>
        <w:tc>
          <w:tcPr>
            <w:tcW w:w="1643" w:type="pct"/>
          </w:tcPr>
          <w:p w14:paraId="5A5D9352" w14:textId="77777777" w:rsidR="00500AE2" w:rsidRPr="007E3D0B" w:rsidRDefault="00500AE2" w:rsidP="00F91A93">
            <w:pPr>
              <w:spacing w:before="0" w:after="0"/>
              <w:rPr>
                <w:rFonts w:asciiTheme="minorHAnsi" w:hAnsiTheme="minorHAnsi" w:cstheme="minorHAnsi"/>
                <w:color w:val="000000" w:themeColor="text1"/>
              </w:rPr>
            </w:pPr>
            <w:r w:rsidRPr="007E3D0B">
              <w:rPr>
                <w:rFonts w:asciiTheme="minorHAnsi" w:hAnsiTheme="minorHAnsi" w:cstheme="minorHAnsi"/>
                <w:color w:val="000000" w:themeColor="text1"/>
              </w:rPr>
              <w:t>Curto, Médio e Longo Prazo</w:t>
            </w:r>
          </w:p>
        </w:tc>
      </w:tr>
    </w:tbl>
    <w:p w14:paraId="68AE03A9" w14:textId="071F0F9E" w:rsidR="00500AE2" w:rsidRPr="007E3D0B" w:rsidRDefault="00500AE2" w:rsidP="00500AE2">
      <w:pPr>
        <w:jc w:val="left"/>
        <w:rPr>
          <w:rFonts w:asciiTheme="minorHAnsi" w:hAnsiTheme="minorHAnsi" w:cstheme="minorHAnsi"/>
          <w:color w:val="000000" w:themeColor="text1"/>
        </w:rPr>
      </w:pPr>
    </w:p>
    <w:p w14:paraId="76CF5F48" w14:textId="77777777" w:rsidR="00500AE2" w:rsidRPr="007E3D0B" w:rsidRDefault="00500AE2" w:rsidP="004F698B">
      <w:pPr>
        <w:pStyle w:val="Ttulo1"/>
        <w:rPr>
          <w:rFonts w:asciiTheme="minorHAnsi" w:hAnsiTheme="minorHAnsi" w:cstheme="minorHAnsi"/>
          <w:color w:val="000000" w:themeColor="text1"/>
          <w:sz w:val="22"/>
          <w:szCs w:val="22"/>
        </w:rPr>
      </w:pPr>
      <w:bookmarkStart w:id="133" w:name="_Toc118105171"/>
      <w:bookmarkStart w:id="134" w:name="_Toc213399443"/>
      <w:r w:rsidRPr="007E3D0B">
        <w:rPr>
          <w:rFonts w:asciiTheme="minorHAnsi" w:hAnsiTheme="minorHAnsi" w:cstheme="minorHAnsi"/>
          <w:color w:val="000000" w:themeColor="text1"/>
          <w:sz w:val="22"/>
          <w:szCs w:val="22"/>
        </w:rPr>
        <w:t>C</w:t>
      </w:r>
      <w:bookmarkEnd w:id="114"/>
      <w:r w:rsidRPr="007E3D0B">
        <w:rPr>
          <w:rFonts w:asciiTheme="minorHAnsi" w:hAnsiTheme="minorHAnsi" w:cstheme="minorHAnsi"/>
          <w:color w:val="000000" w:themeColor="text1"/>
          <w:sz w:val="22"/>
          <w:szCs w:val="22"/>
        </w:rPr>
        <w:t>ONTROLES INTERNOS</w:t>
      </w:r>
      <w:bookmarkEnd w:id="115"/>
      <w:bookmarkEnd w:id="116"/>
      <w:bookmarkEnd w:id="133"/>
      <w:bookmarkEnd w:id="134"/>
    </w:p>
    <w:p w14:paraId="0C8734C9"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Antes de qualquer aplicação, resgate ou movimentações financeiras ocorridas na carteira de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os responsáveis pela gestão dos recursos deverão seguir todos os princípios e diretrizes envolvidos nos processos de aplicação dos recursos.</w:t>
      </w:r>
    </w:p>
    <w:p w14:paraId="3A00BE97"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O acompanhamento mensal do desempenho da carteira de investimentos em relação a Meta de Rentabilidade definida, garantirá ações e medidas no curto e médio prazo do equacionamento de quaisquer distorções decorrentes dos riscos a ela atrelados.</w:t>
      </w:r>
    </w:p>
    <w:p w14:paraId="499C69D7" w14:textId="2D56060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Com base nas determinações da Portaria </w:t>
      </w:r>
      <w:r w:rsidR="0001490F" w:rsidRPr="007E3D0B">
        <w:rPr>
          <w:rFonts w:asciiTheme="minorHAnsi" w:hAnsiTheme="minorHAnsi" w:cstheme="minorHAnsi"/>
          <w:bCs/>
          <w:color w:val="000000" w:themeColor="text1"/>
        </w:rPr>
        <w:t xml:space="preserve">MTP </w:t>
      </w:r>
      <w:r w:rsidRPr="007E3D0B">
        <w:rPr>
          <w:rFonts w:asciiTheme="minorHAnsi" w:hAnsiTheme="minorHAnsi" w:cstheme="minorHAnsi"/>
          <w:bCs/>
          <w:color w:val="000000" w:themeColor="text1"/>
        </w:rPr>
        <w:t>nº 1.467/2022, foi instituído o Comitê de Investimentos através do</w:t>
      </w:r>
      <w:r w:rsidR="00686682" w:rsidRPr="00686682">
        <w:rPr>
          <w:rFonts w:asciiTheme="minorHAnsi" w:hAnsiTheme="minorHAnsi" w:cstheme="minorHAnsi"/>
          <w:bCs/>
          <w:color w:val="000000" w:themeColor="text1"/>
          <w:sz w:val="14"/>
          <w:szCs w:val="14"/>
        </w:rPr>
        <w:t xml:space="preserve"> </w:t>
      </w:r>
      <w:r w:rsidR="00686682" w:rsidRPr="00686682">
        <w:rPr>
          <w:rFonts w:asciiTheme="minorHAnsi" w:hAnsiTheme="minorHAnsi" w:cstheme="minorHAnsi"/>
          <w:bCs/>
          <w:color w:val="000000" w:themeColor="text1"/>
        </w:rPr>
        <w:t xml:space="preserve">através do Ato Normativo </w:t>
      </w:r>
      <w:r w:rsidR="00686682" w:rsidRPr="00686682">
        <w:rPr>
          <w:rFonts w:asciiTheme="minorHAnsi" w:hAnsiTheme="minorHAnsi" w:cstheme="minorHAnsi"/>
          <w:b/>
          <w:bCs/>
          <w:color w:val="000000" w:themeColor="text1"/>
        </w:rPr>
        <w:t>Portaria 8456/2018</w:t>
      </w:r>
      <w:r w:rsidR="00686682" w:rsidRPr="00686682">
        <w:rPr>
          <w:rFonts w:asciiTheme="minorHAnsi" w:hAnsiTheme="minorHAnsi" w:cstheme="minorHAnsi"/>
          <w:b/>
          <w:bCs/>
          <w:color w:val="000000" w:themeColor="text1"/>
        </w:rPr>
        <w:t>,</w:t>
      </w:r>
      <w:r w:rsidR="00686682">
        <w:rPr>
          <w:rFonts w:asciiTheme="minorHAnsi" w:hAnsiTheme="minorHAnsi" w:cstheme="minorHAnsi"/>
          <w:b/>
          <w:bCs/>
          <w:color w:val="000000" w:themeColor="text1"/>
          <w:sz w:val="14"/>
          <w:szCs w:val="14"/>
        </w:rPr>
        <w:t xml:space="preserve"> </w:t>
      </w:r>
      <w:r w:rsidRPr="007E3D0B">
        <w:rPr>
          <w:rFonts w:asciiTheme="minorHAnsi" w:hAnsiTheme="minorHAnsi" w:cstheme="minorHAnsi"/>
          <w:bCs/>
          <w:color w:val="000000" w:themeColor="text1"/>
        </w:rPr>
        <w:t>com a finalidade mínima de participar no processo decisório quanto à formulação e execução da Política de Investimentos.</w:t>
      </w:r>
    </w:p>
    <w:p w14:paraId="109545C9"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Suas ações são previamente aprovadas em Plano de Ação estipulado para o exercício corrente e seu controle será promovido pelo Gestor dos Recursos e Presidente do Comitê de Investimentos.</w:t>
      </w:r>
    </w:p>
    <w:p w14:paraId="49A2D9FB" w14:textId="77777777" w:rsidR="00CB4094" w:rsidRPr="007E3D0B" w:rsidRDefault="00500AE2" w:rsidP="00CB4094">
      <w:pPr>
        <w:rPr>
          <w:rFonts w:asciiTheme="minorHAnsi" w:hAnsiTheme="minorHAnsi" w:cstheme="minorHAnsi"/>
          <w:bCs/>
          <w:color w:val="000000" w:themeColor="text1"/>
        </w:rPr>
      </w:pPr>
      <w:r w:rsidRPr="007E3D0B">
        <w:rPr>
          <w:rFonts w:asciiTheme="minorHAnsi" w:hAnsiTheme="minorHAnsi" w:cstheme="minorHAnsi"/>
          <w:bCs/>
          <w:color w:val="000000" w:themeColor="text1"/>
        </w:rPr>
        <w:t>Entende-se como participação no processo decisório quanto à formulação e execução da Política de Investimentos a abrangência de:</w:t>
      </w:r>
    </w:p>
    <w:p w14:paraId="0791413D" w14:textId="77777777" w:rsidR="00CB4094" w:rsidRPr="007E3D0B" w:rsidRDefault="00500AE2" w:rsidP="00CB4094">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o cumprimento das normativas vigentes;</w:t>
      </w:r>
    </w:p>
    <w:p w14:paraId="6A806679" w14:textId="77777777" w:rsidR="00CB4094" w:rsidRPr="007E3D0B" w:rsidRDefault="00500AE2" w:rsidP="00CB4094">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o cumprimento da Política de Investimentos e suas revisões;</w:t>
      </w:r>
    </w:p>
    <w:p w14:paraId="5AE81B54"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garantir a adequação dos investimentos de acordo com o perfil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156D4A86"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monitorar o grau de risco dos investimentos;</w:t>
      </w:r>
    </w:p>
    <w:p w14:paraId="1CD0A477"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observar que </w:t>
      </w:r>
      <w:r w:rsidR="00D440AE" w:rsidRPr="007E3D0B">
        <w:rPr>
          <w:rFonts w:asciiTheme="minorHAnsi" w:hAnsiTheme="minorHAnsi" w:cstheme="minorHAnsi"/>
          <w:bCs/>
          <w:color w:val="000000" w:themeColor="text1"/>
        </w:rPr>
        <w:t xml:space="preserve">a rentabilidade dos recursos </w:t>
      </w:r>
      <w:proofErr w:type="spellStart"/>
      <w:r w:rsidR="00D440AE" w:rsidRPr="007E3D0B">
        <w:rPr>
          <w:rFonts w:asciiTheme="minorHAnsi" w:hAnsiTheme="minorHAnsi" w:cstheme="minorHAnsi"/>
          <w:bCs/>
          <w:color w:val="000000" w:themeColor="text1"/>
        </w:rPr>
        <w:t>esteja</w:t>
      </w:r>
      <w:proofErr w:type="spellEnd"/>
      <w:r w:rsidR="00D440AE" w:rsidRPr="007E3D0B">
        <w:rPr>
          <w:rFonts w:asciiTheme="minorHAnsi" w:hAnsiTheme="minorHAnsi" w:cstheme="minorHAnsi"/>
          <w:bCs/>
          <w:color w:val="000000" w:themeColor="text1"/>
        </w:rPr>
        <w:t xml:space="preserve"> </w:t>
      </w:r>
      <w:r w:rsidRPr="007E3D0B">
        <w:rPr>
          <w:rFonts w:asciiTheme="minorHAnsi" w:hAnsiTheme="minorHAnsi" w:cstheme="minorHAnsi"/>
          <w:bCs/>
          <w:color w:val="000000" w:themeColor="text1"/>
        </w:rPr>
        <w:t>de acordo com o nível de risco assumido;</w:t>
      </w:r>
    </w:p>
    <w:p w14:paraId="0B421C09"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a gestão ética e transparente dos recursos;</w:t>
      </w:r>
    </w:p>
    <w:p w14:paraId="023A3E98"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a execução dos processos internos voltados para área de investimentos;</w:t>
      </w:r>
    </w:p>
    <w:p w14:paraId="0F7FFEF9"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instaurar sindicância no âmbito dos investimentos e processos de investimentos se assim houver a necessidade;</w:t>
      </w:r>
    </w:p>
    <w:p w14:paraId="3C656150"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executar plano de contingência no âmbito dos investimentos conforme definido em Política de Investimentos se assim houver a necessidade;</w:t>
      </w:r>
    </w:p>
    <w:p w14:paraId="18531627"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a execução, o cumprimento e acompanhamento do Credenciamento das Instituições Financeiras;</w:t>
      </w:r>
    </w:p>
    <w:p w14:paraId="468592B6" w14:textId="77777777" w:rsidR="00F80785"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garantir que a Alocação Estratégica esteja em consonância com os estudos técnicos que nortearam o equilíbrio atuarial e financeiro e</w:t>
      </w:r>
    </w:p>
    <w:p w14:paraId="0D5A20F8" w14:textId="77777777" w:rsidR="00500AE2" w:rsidRPr="007E3D0B" w:rsidRDefault="00500AE2" w:rsidP="00F80785">
      <w:pPr>
        <w:pStyle w:val="PargrafodaLista"/>
        <w:numPr>
          <w:ilvl w:val="0"/>
          <w:numId w:val="36"/>
        </w:numPr>
        <w:rPr>
          <w:rFonts w:asciiTheme="minorHAnsi" w:hAnsiTheme="minorHAnsi" w:cstheme="minorHAnsi"/>
          <w:bCs/>
          <w:color w:val="000000" w:themeColor="text1"/>
        </w:rPr>
      </w:pPr>
      <w:r w:rsidRPr="007E3D0B">
        <w:rPr>
          <w:rFonts w:asciiTheme="minorHAnsi" w:hAnsiTheme="minorHAnsi" w:cstheme="minorHAnsi"/>
          <w:bCs/>
          <w:color w:val="000000" w:themeColor="text1"/>
        </w:rPr>
        <w:t>qualquer outra atividade relacionada diretamente a área de investimentos.</w:t>
      </w:r>
    </w:p>
    <w:p w14:paraId="55AF7D32"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Todo o acompanhamento promovido pelo Comitê de Investimentos será designado em formato de relatório e/ou parecer, sendo disponibilizado para apreciação, análise, contestação e aprovação por parte do Conselho de Deliberação. Sua periodicidade se adequada ao porte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w:t>
      </w:r>
    </w:p>
    <w:p w14:paraId="4862BC5B" w14:textId="23820E29" w:rsidR="00F91A93" w:rsidRPr="007E3D0B" w:rsidRDefault="00500AE2" w:rsidP="006E5E62">
      <w:p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Os relatórios e/ou pareceres supracitados serão mantidos e colocados à disposição do Ministério da Previdência</w:t>
      </w:r>
      <w:r w:rsidR="00D61C7B" w:rsidRPr="007E3D0B">
        <w:rPr>
          <w:rFonts w:asciiTheme="minorHAnsi" w:hAnsiTheme="minorHAnsi" w:cstheme="minorHAnsi"/>
          <w:bCs/>
          <w:color w:val="000000" w:themeColor="text1"/>
        </w:rPr>
        <w:t xml:space="preserve"> Social</w:t>
      </w:r>
      <w:r w:rsidRPr="007E3D0B">
        <w:rPr>
          <w:rFonts w:asciiTheme="minorHAnsi" w:hAnsiTheme="minorHAnsi" w:cstheme="minorHAnsi"/>
          <w:bCs/>
          <w:color w:val="000000" w:themeColor="text1"/>
        </w:rPr>
        <w:t>, Secretária de Previdência Social - SPREV, Tribunal de Contas do Estado, Conselho Fiscal, Controle Interno e demais órgãos fiscalizadores e interessados.</w:t>
      </w:r>
      <w:bookmarkStart w:id="135" w:name="_Toc490036564"/>
    </w:p>
    <w:p w14:paraId="0EE0DD0F" w14:textId="77777777" w:rsidR="00500AE2" w:rsidRPr="007E3D0B" w:rsidRDefault="00500AE2" w:rsidP="004F698B">
      <w:pPr>
        <w:pStyle w:val="Ttulo1"/>
        <w:rPr>
          <w:rFonts w:asciiTheme="minorHAnsi" w:hAnsiTheme="minorHAnsi" w:cstheme="minorHAnsi"/>
          <w:color w:val="000000" w:themeColor="text1"/>
          <w:sz w:val="22"/>
          <w:szCs w:val="22"/>
        </w:rPr>
      </w:pPr>
      <w:bookmarkStart w:id="136" w:name="_Toc118105172"/>
      <w:bookmarkStart w:id="137" w:name="_Toc213399444"/>
      <w:r w:rsidRPr="007E3D0B">
        <w:rPr>
          <w:rFonts w:asciiTheme="minorHAnsi" w:hAnsiTheme="minorHAnsi" w:cstheme="minorHAnsi"/>
          <w:color w:val="000000" w:themeColor="text1"/>
          <w:sz w:val="22"/>
          <w:szCs w:val="22"/>
        </w:rPr>
        <w:t>DISPOSIÇÕES GERAIS</w:t>
      </w:r>
      <w:bookmarkEnd w:id="135"/>
      <w:bookmarkEnd w:id="136"/>
      <w:bookmarkEnd w:id="137"/>
    </w:p>
    <w:p w14:paraId="638D2E70"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presente Política de Investimentos poderá ser revista no curso de sua execução e deverá ser monitorada no curto prazo, a contar da data de sua aprovação pelo órgão superior competente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sendo que o prazo de validade compreenderá apenas o ano de 202</w:t>
      </w:r>
      <w:r w:rsidR="0049349F" w:rsidRPr="007E3D0B">
        <w:rPr>
          <w:rFonts w:asciiTheme="minorHAnsi" w:hAnsiTheme="minorHAnsi" w:cstheme="minorHAnsi"/>
          <w:bCs/>
          <w:color w:val="000000" w:themeColor="text1"/>
        </w:rPr>
        <w:t>6</w:t>
      </w:r>
      <w:r w:rsidRPr="007E3D0B">
        <w:rPr>
          <w:rFonts w:asciiTheme="minorHAnsi" w:hAnsiTheme="minorHAnsi" w:cstheme="minorHAnsi"/>
          <w:bCs/>
          <w:color w:val="000000" w:themeColor="text1"/>
        </w:rPr>
        <w:t>.</w:t>
      </w:r>
    </w:p>
    <w:p w14:paraId="3A3B5C0D"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Reuniões extraordinárias promovidas pelo Comitê de Investimentos e posteriormente com Conselho Deliberativo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serão realizadas sempre que houver necessidade de ajustes nesta Política de Investimentos perante o comportamento/conjuntura do mercado, quando se apresentar o interesse da preservação dos ativos financeiros e/ou com vistas à adequação à nova legislação.</w:t>
      </w:r>
    </w:p>
    <w:p w14:paraId="12471EA4"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A Política de Investimentos e suas possíveis revisões; a documentação que os fundamenta, bem como as aprovações exigidas, permanecerão à disposição dos órgãos de acompanhamento, supervisão e fiscalização pelo prazo de 10 (dez) anos.</w:t>
      </w:r>
    </w:p>
    <w:p w14:paraId="4D6F2ABB" w14:textId="77777777" w:rsidR="002F7351"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Deverão estar certificados os responsáveis pelo acompanhamento e operacionalização dos investimentos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através de exame de certificação organizado por entidade autônoma de reconhecida capacidade técnica e difusão no mercado brasileiro de capitais, cujo conteúdo abrangerá, no mínimo, o contido no anexo a Portaria </w:t>
      </w:r>
      <w:r w:rsidR="002F7351" w:rsidRPr="007E3D0B">
        <w:rPr>
          <w:rFonts w:asciiTheme="minorHAnsi" w:hAnsiTheme="minorHAnsi" w:cstheme="minorHAnsi"/>
          <w:bCs/>
          <w:color w:val="000000" w:themeColor="text1"/>
        </w:rPr>
        <w:t xml:space="preserve">MTP </w:t>
      </w:r>
      <w:r w:rsidRPr="007E3D0B">
        <w:rPr>
          <w:rFonts w:asciiTheme="minorHAnsi" w:hAnsiTheme="minorHAnsi" w:cstheme="minorHAnsi"/>
          <w:bCs/>
          <w:color w:val="000000" w:themeColor="text1"/>
        </w:rPr>
        <w:t>nº 1.467/2022, Art. 76, Inciso II.</w:t>
      </w:r>
    </w:p>
    <w:p w14:paraId="3CC727C4"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 comprovação da habilitação ocorrerá mediante o preenchimento dos campos específicos constantes do Demonstrativo da Política de Investimentos - DPIN e do Demonstrativo de Aplicações e Investimentos dos Recursos - DAIR. </w:t>
      </w:r>
    </w:p>
    <w:p w14:paraId="3F4D7041"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As Instituições Financeiras que operem e que venham a operar com 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poderão, a título institucional, oferecer apoio técnico através de cursos, seminários e workshops ministrados por profissionais de mercado e/ou funcionários das Instituições para capacitação de servidores e membros dos órgãos colegiados; bem como, contraprestação de serviços e projetos de iniciativa 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sem que haja ônus ou compromisso vinculados aos produtos de investimentos.</w:t>
      </w:r>
    </w:p>
    <w:p w14:paraId="18D85697"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Casos omissos nesta Política de Investimentos remetem-se à Resolução CMN n° 4.963/2021 e suas e à Portaria </w:t>
      </w:r>
      <w:r w:rsidR="00860563" w:rsidRPr="007E3D0B">
        <w:rPr>
          <w:rFonts w:asciiTheme="minorHAnsi" w:hAnsiTheme="minorHAnsi" w:cstheme="minorHAnsi"/>
          <w:bCs/>
          <w:color w:val="000000" w:themeColor="text1"/>
        </w:rPr>
        <w:t xml:space="preserve">MTP </w:t>
      </w:r>
      <w:r w:rsidRPr="007E3D0B">
        <w:rPr>
          <w:rFonts w:asciiTheme="minorHAnsi" w:hAnsiTheme="minorHAnsi" w:cstheme="minorHAnsi"/>
          <w:bCs/>
          <w:color w:val="000000" w:themeColor="text1"/>
        </w:rPr>
        <w:t>nº 1.467/2022 e demais normativas pertinentes aos Regimes Próprios de Previdência Social</w:t>
      </w:r>
      <w:r w:rsidR="00FD4688" w:rsidRPr="007E3D0B">
        <w:rPr>
          <w:rFonts w:asciiTheme="minorHAnsi" w:hAnsiTheme="minorHAnsi" w:cstheme="minorHAnsi"/>
          <w:bCs/>
          <w:color w:val="000000" w:themeColor="text1"/>
        </w:rPr>
        <w:t xml:space="preserve"> - RPPS</w:t>
      </w:r>
      <w:r w:rsidRPr="007E3D0B">
        <w:rPr>
          <w:rFonts w:asciiTheme="minorHAnsi" w:hAnsiTheme="minorHAnsi" w:cstheme="minorHAnsi"/>
          <w:bCs/>
          <w:color w:val="000000" w:themeColor="text1"/>
        </w:rPr>
        <w:t>.</w:t>
      </w:r>
    </w:p>
    <w:p w14:paraId="3E7EA4B0" w14:textId="77777777" w:rsidR="00500AE2" w:rsidRPr="007E3D0B" w:rsidRDefault="00500AE2" w:rsidP="00500AE2">
      <w:pPr>
        <w:rPr>
          <w:rFonts w:asciiTheme="minorHAnsi" w:hAnsiTheme="minorHAnsi" w:cstheme="minorHAnsi"/>
          <w:bCs/>
          <w:color w:val="000000" w:themeColor="text1"/>
        </w:rPr>
      </w:pPr>
      <w:r w:rsidRPr="007E3D0B">
        <w:rPr>
          <w:rFonts w:asciiTheme="minorHAnsi" w:hAnsiTheme="minorHAnsi" w:cstheme="minorHAnsi"/>
          <w:bCs/>
          <w:color w:val="000000" w:themeColor="text1"/>
        </w:rPr>
        <w:t xml:space="preserve">É parte integrante desta Política de Investimentos, cópia da </w:t>
      </w:r>
      <w:r w:rsidRPr="007E3D0B">
        <w:rPr>
          <w:rFonts w:asciiTheme="minorHAnsi" w:hAnsiTheme="minorHAnsi" w:cstheme="minorHAnsi"/>
          <w:b/>
          <w:bCs/>
          <w:color w:val="000000" w:themeColor="text1"/>
        </w:rPr>
        <w:t>Ata do Comitê de Investimentos</w:t>
      </w:r>
      <w:r w:rsidRPr="007E3D0B">
        <w:rPr>
          <w:rFonts w:asciiTheme="minorHAnsi" w:hAnsiTheme="minorHAnsi" w:cstheme="minorHAnsi"/>
          <w:bCs/>
          <w:color w:val="000000" w:themeColor="text1"/>
        </w:rPr>
        <w:t xml:space="preserve"> que é participante do processo decisório quanto à sua formulação e execução</w:t>
      </w:r>
      <w:r w:rsidR="005B3C12" w:rsidRPr="007E3D0B">
        <w:rPr>
          <w:rFonts w:asciiTheme="minorHAnsi" w:hAnsiTheme="minorHAnsi" w:cstheme="minorHAnsi"/>
          <w:bCs/>
          <w:color w:val="000000" w:themeColor="text1"/>
        </w:rPr>
        <w:t>;</w:t>
      </w:r>
      <w:r w:rsidRPr="007E3D0B">
        <w:rPr>
          <w:rFonts w:asciiTheme="minorHAnsi" w:hAnsiTheme="minorHAnsi" w:cstheme="minorHAnsi"/>
          <w:bCs/>
          <w:color w:val="000000" w:themeColor="text1"/>
        </w:rPr>
        <w:t xml:space="preserve"> cópia da </w:t>
      </w:r>
      <w:r w:rsidRPr="007E3D0B">
        <w:rPr>
          <w:rFonts w:asciiTheme="minorHAnsi" w:hAnsiTheme="minorHAnsi" w:cstheme="minorHAnsi"/>
          <w:b/>
          <w:bCs/>
          <w:color w:val="000000" w:themeColor="text1"/>
        </w:rPr>
        <w:t>Ata do órgão superior</w:t>
      </w:r>
      <w:r w:rsidRPr="007E3D0B">
        <w:rPr>
          <w:rFonts w:asciiTheme="minorHAnsi" w:hAnsiTheme="minorHAnsi" w:cstheme="minorHAnsi"/>
          <w:bCs/>
          <w:color w:val="000000" w:themeColor="text1"/>
        </w:rPr>
        <w:t xml:space="preserve"> </w:t>
      </w:r>
      <w:r w:rsidRPr="007E3D0B">
        <w:rPr>
          <w:rFonts w:asciiTheme="minorHAnsi" w:hAnsiTheme="minorHAnsi" w:cstheme="minorHAnsi"/>
          <w:b/>
          <w:color w:val="000000" w:themeColor="text1"/>
        </w:rPr>
        <w:t xml:space="preserve">de deliberação </w:t>
      </w:r>
      <w:r w:rsidRPr="007E3D0B">
        <w:rPr>
          <w:rFonts w:asciiTheme="minorHAnsi" w:hAnsiTheme="minorHAnsi" w:cstheme="minorHAnsi"/>
          <w:bCs/>
          <w:color w:val="000000" w:themeColor="text1"/>
        </w:rPr>
        <w:t>competente que aprova o presente instrumento, devidamente assinada por seus membros.</w:t>
      </w:r>
    </w:p>
    <w:p w14:paraId="1B80D8DE" w14:textId="77777777" w:rsidR="006E5E62" w:rsidRPr="007E3D0B" w:rsidRDefault="00500AE2" w:rsidP="006E5E62">
      <w:pPr>
        <w:rPr>
          <w:rFonts w:asciiTheme="minorHAnsi" w:hAnsiTheme="minorHAnsi" w:cstheme="minorHAnsi"/>
          <w:bCs/>
          <w:color w:val="000000" w:themeColor="text1"/>
        </w:rPr>
      </w:pPr>
      <w:r w:rsidRPr="007E3D0B">
        <w:rPr>
          <w:rFonts w:asciiTheme="minorHAnsi" w:hAnsiTheme="minorHAnsi" w:cstheme="minorHAnsi"/>
          <w:bCs/>
          <w:color w:val="000000" w:themeColor="text1"/>
        </w:rPr>
        <w:t>Este documento deverá ser assinado:</w:t>
      </w:r>
    </w:p>
    <w:p w14:paraId="390C89D3" w14:textId="77777777" w:rsidR="006E5E62" w:rsidRPr="007E3D0B" w:rsidRDefault="00500AE2" w:rsidP="006E5E62">
      <w:pPr>
        <w:pStyle w:val="PargrafodaLista"/>
        <w:numPr>
          <w:ilvl w:val="0"/>
          <w:numId w:val="37"/>
        </w:numPr>
        <w:rPr>
          <w:rFonts w:asciiTheme="minorHAnsi" w:hAnsiTheme="minorHAnsi" w:cstheme="minorHAnsi"/>
          <w:bCs/>
          <w:color w:val="000000" w:themeColor="text1"/>
        </w:rPr>
      </w:pPr>
      <w:r w:rsidRPr="007E3D0B">
        <w:rPr>
          <w:rFonts w:asciiTheme="minorHAnsi" w:hAnsiTheme="minorHAnsi" w:cstheme="minorHAnsi"/>
          <w:bCs/>
          <w:color w:val="000000" w:themeColor="text1"/>
        </w:rPr>
        <w:lastRenderedPageBreak/>
        <w:t xml:space="preserve">pelo representante </w:t>
      </w:r>
      <w:r w:rsidR="000965C1" w:rsidRPr="007E3D0B">
        <w:rPr>
          <w:rFonts w:asciiTheme="minorHAnsi" w:hAnsiTheme="minorHAnsi" w:cstheme="minorHAnsi"/>
          <w:bCs/>
          <w:color w:val="000000" w:themeColor="text1"/>
        </w:rPr>
        <w:t xml:space="preserve">do </w:t>
      </w:r>
      <w:r w:rsidRPr="007E3D0B">
        <w:rPr>
          <w:rFonts w:asciiTheme="minorHAnsi" w:hAnsiTheme="minorHAnsi" w:cstheme="minorHAnsi"/>
          <w:b/>
          <w:bCs/>
          <w:color w:val="000000" w:themeColor="text1"/>
        </w:rPr>
        <w:t>INSTITUTO DE PREVIDÊNCIA MUNICIPAL DE SANTO ANTÔNIO DE POSSE - IPREM POSSE</w:t>
      </w:r>
      <w:r w:rsidRPr="007E3D0B">
        <w:rPr>
          <w:rFonts w:asciiTheme="minorHAnsi" w:hAnsiTheme="minorHAnsi" w:cstheme="minorHAnsi"/>
          <w:bCs/>
          <w:color w:val="000000" w:themeColor="text1"/>
        </w:rPr>
        <w:t xml:space="preserve"> e</w:t>
      </w:r>
    </w:p>
    <w:p w14:paraId="5798167F" w14:textId="36AC1A54" w:rsidR="007B0892" w:rsidRPr="00B309E0" w:rsidRDefault="00500AE2" w:rsidP="00B309E0">
      <w:pPr>
        <w:pStyle w:val="PargrafodaLista"/>
        <w:numPr>
          <w:ilvl w:val="0"/>
          <w:numId w:val="37"/>
        </w:numPr>
        <w:jc w:val="left"/>
        <w:rPr>
          <w:rFonts w:asciiTheme="minorHAnsi" w:hAnsiTheme="minorHAnsi" w:cstheme="minorHAnsi"/>
          <w:bCs/>
          <w:color w:val="000000" w:themeColor="text1"/>
        </w:rPr>
      </w:pPr>
      <w:r w:rsidRPr="00B309E0">
        <w:rPr>
          <w:rFonts w:asciiTheme="minorHAnsi" w:hAnsiTheme="minorHAnsi" w:cstheme="minorHAnsi"/>
          <w:bCs/>
          <w:color w:val="000000" w:themeColor="text1"/>
        </w:rPr>
        <w:t xml:space="preserve">pelos responsáveis pela </w:t>
      </w:r>
      <w:r w:rsidRPr="00B309E0">
        <w:rPr>
          <w:rFonts w:asciiTheme="minorHAnsi" w:hAnsiTheme="minorHAnsi" w:cstheme="minorHAnsi"/>
          <w:b/>
          <w:bCs/>
          <w:color w:val="000000" w:themeColor="text1"/>
          <w:u w:val="single"/>
        </w:rPr>
        <w:t>elaboração, aprovação e execução</w:t>
      </w:r>
      <w:r w:rsidRPr="00B309E0">
        <w:rPr>
          <w:rFonts w:asciiTheme="minorHAnsi" w:hAnsiTheme="minorHAnsi" w:cstheme="minorHAnsi"/>
          <w:bCs/>
          <w:color w:val="000000" w:themeColor="text1"/>
        </w:rPr>
        <w:t xml:space="preserve"> desta Política de Investimentos em atendimento ao art. 91° da Portaria n° 1.467/2022.</w:t>
      </w:r>
    </w:p>
    <w:p w14:paraId="00A3E1C7" w14:textId="77777777" w:rsidR="006711AC" w:rsidRPr="007E3D0B" w:rsidRDefault="007B0892" w:rsidP="007800F1">
      <w:pPr>
        <w:pStyle w:val="Ttulo1"/>
        <w:rPr>
          <w:rFonts w:asciiTheme="minorHAnsi" w:hAnsiTheme="minorHAnsi" w:cstheme="minorHAnsi"/>
          <w:color w:val="000000" w:themeColor="text1"/>
          <w:sz w:val="22"/>
          <w:szCs w:val="22"/>
        </w:rPr>
      </w:pPr>
      <w:bookmarkStart w:id="138" w:name="_Toc213399445"/>
      <w:r w:rsidRPr="007E3D0B">
        <w:rPr>
          <w:rFonts w:asciiTheme="minorHAnsi" w:hAnsiTheme="minorHAnsi" w:cstheme="minorHAnsi"/>
          <w:color w:val="000000" w:themeColor="text1"/>
          <w:sz w:val="22"/>
          <w:szCs w:val="22"/>
        </w:rPr>
        <w:t>ASSINATURAS</w:t>
      </w:r>
      <w:bookmarkEnd w:id="138"/>
    </w:p>
    <w:p w14:paraId="2A194864" w14:textId="77777777" w:rsidR="006E5E62" w:rsidRPr="007E3D0B" w:rsidRDefault="006E5E62" w:rsidP="00694BF1">
      <w:pPr>
        <w:rPr>
          <w:rFonts w:asciiTheme="minorHAnsi" w:hAnsiTheme="minorHAnsi" w:cstheme="minorHAnsi"/>
          <w:color w:val="000000" w:themeColor="text1"/>
        </w:rPr>
      </w:pPr>
    </w:p>
    <w:p w14:paraId="26FAE78B" w14:textId="77777777" w:rsidR="00694BF1" w:rsidRPr="007E3D0B" w:rsidRDefault="00694BF1" w:rsidP="00694BF1">
      <w:pPr>
        <w:spacing w:before="0"/>
        <w:jc w:val="center"/>
        <w:rPr>
          <w:rFonts w:asciiTheme="minorHAnsi" w:hAnsiTheme="minorHAnsi" w:cstheme="minorHAnsi"/>
          <w:b/>
          <w:bCs/>
          <w:color w:val="000000" w:themeColor="text1"/>
        </w:rPr>
      </w:pPr>
      <w:r w:rsidRPr="007E3D0B">
        <w:rPr>
          <w:rFonts w:asciiTheme="minorHAnsi" w:hAnsiTheme="minorHAnsi" w:cstheme="minorHAnsi"/>
          <w:b/>
          <w:bCs/>
          <w:color w:val="000000" w:themeColor="text1"/>
        </w:rPr>
        <w:t>Membros da Diretoria Executiva</w:t>
      </w:r>
    </w:p>
    <w:p w14:paraId="02917BDB" w14:textId="77777777" w:rsidR="009E027A" w:rsidRPr="007E3D0B" w:rsidRDefault="009E027A" w:rsidP="00694BF1">
      <w:pPr>
        <w:spacing w:before="0"/>
        <w:jc w:val="center"/>
        <w:rPr>
          <w:rFonts w:asciiTheme="minorHAnsi" w:hAnsiTheme="minorHAnsi" w:cstheme="minorHAnsi"/>
          <w:b/>
          <w:bCs/>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03"/>
      </w:tblGrid>
      <w:tr w:rsidR="007E3D0B" w:rsidRPr="007E3D0B" w14:paraId="3AE5397F" w14:textId="77777777" w:rsidTr="00686682">
        <w:tc>
          <w:tcPr>
            <w:tcW w:w="4835" w:type="dxa"/>
            <w:vAlign w:val="center"/>
          </w:tcPr>
          <w:p w14:paraId="22492CCE" w14:textId="76A521B6" w:rsidR="007B0892" w:rsidRPr="007E3D0B" w:rsidRDefault="004C72F8" w:rsidP="00214EF1">
            <w:pPr>
              <w:spacing w:before="0"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                          </w:t>
            </w:r>
            <w:r w:rsidR="00214EF1" w:rsidRPr="007E3D0B">
              <w:rPr>
                <w:rFonts w:asciiTheme="minorHAnsi" w:hAnsiTheme="minorHAnsi" w:cstheme="minorHAnsi"/>
                <w:color w:val="000000" w:themeColor="text1"/>
              </w:rPr>
              <w:t>__________________________________</w:t>
            </w:r>
          </w:p>
        </w:tc>
        <w:tc>
          <w:tcPr>
            <w:tcW w:w="4803" w:type="dxa"/>
            <w:vAlign w:val="center"/>
          </w:tcPr>
          <w:p w14:paraId="6C48AB6C" w14:textId="15EB0B88" w:rsidR="007B0892" w:rsidRPr="007E3D0B" w:rsidRDefault="007B0892" w:rsidP="00214EF1">
            <w:pPr>
              <w:spacing w:before="0" w:after="0"/>
              <w:jc w:val="center"/>
              <w:rPr>
                <w:rFonts w:asciiTheme="minorHAnsi" w:hAnsiTheme="minorHAnsi" w:cstheme="minorHAnsi"/>
                <w:color w:val="000000" w:themeColor="text1"/>
              </w:rPr>
            </w:pPr>
          </w:p>
        </w:tc>
      </w:tr>
      <w:tr w:rsidR="007E3D0B" w:rsidRPr="007E3D0B" w14:paraId="6590E80F" w14:textId="77777777" w:rsidTr="00686682">
        <w:tc>
          <w:tcPr>
            <w:tcW w:w="4835" w:type="dxa"/>
            <w:vAlign w:val="center"/>
          </w:tcPr>
          <w:p w14:paraId="06DB848C" w14:textId="6892E821" w:rsidR="007B0892" w:rsidRPr="007E3D0B" w:rsidRDefault="004C72F8" w:rsidP="00214EF1">
            <w:pPr>
              <w:spacing w:before="0" w:after="0"/>
              <w:jc w:val="center"/>
              <w:rPr>
                <w:rFonts w:asciiTheme="minorHAnsi" w:hAnsiTheme="minorHAnsi" w:cstheme="minorHAnsi"/>
                <w:color w:val="000000" w:themeColor="text1"/>
              </w:rPr>
            </w:pPr>
            <w:r>
              <w:rPr>
                <w:rFonts w:asciiTheme="minorHAnsi" w:hAnsiTheme="minorHAnsi" w:cstheme="minorHAnsi"/>
                <w:color w:val="000000" w:themeColor="text1"/>
              </w:rPr>
              <w:t>Alesandra Aparecida Vascon</w:t>
            </w:r>
          </w:p>
        </w:tc>
        <w:tc>
          <w:tcPr>
            <w:tcW w:w="4803" w:type="dxa"/>
            <w:vAlign w:val="center"/>
          </w:tcPr>
          <w:p w14:paraId="2E78A64F" w14:textId="60CD13F8" w:rsidR="007B0892" w:rsidRPr="007E3D0B" w:rsidRDefault="007B0892" w:rsidP="00214EF1">
            <w:pPr>
              <w:spacing w:before="0" w:after="0"/>
              <w:jc w:val="center"/>
              <w:rPr>
                <w:rFonts w:asciiTheme="minorHAnsi" w:hAnsiTheme="minorHAnsi" w:cstheme="minorHAnsi"/>
                <w:color w:val="000000" w:themeColor="text1"/>
              </w:rPr>
            </w:pPr>
          </w:p>
        </w:tc>
      </w:tr>
      <w:tr w:rsidR="007E3D0B" w:rsidRPr="007E3D0B" w14:paraId="7F2E0777" w14:textId="77777777" w:rsidTr="00686682">
        <w:tc>
          <w:tcPr>
            <w:tcW w:w="4835" w:type="dxa"/>
            <w:vAlign w:val="center"/>
          </w:tcPr>
          <w:p w14:paraId="03236C9B" w14:textId="42EEDE25" w:rsidR="007B0892" w:rsidRPr="007E3D0B" w:rsidRDefault="004C72F8" w:rsidP="00214EF1">
            <w:pPr>
              <w:spacing w:before="0" w:after="0"/>
              <w:jc w:val="center"/>
              <w:rPr>
                <w:rFonts w:asciiTheme="minorHAnsi" w:hAnsiTheme="minorHAnsi" w:cstheme="minorHAnsi"/>
                <w:color w:val="000000" w:themeColor="text1"/>
              </w:rPr>
            </w:pPr>
            <w:r>
              <w:rPr>
                <w:rFonts w:asciiTheme="minorHAnsi" w:hAnsiTheme="minorHAnsi" w:cstheme="minorHAnsi"/>
                <w:color w:val="000000" w:themeColor="text1"/>
              </w:rPr>
              <w:t>Diretora Presidente</w:t>
            </w:r>
          </w:p>
        </w:tc>
        <w:tc>
          <w:tcPr>
            <w:tcW w:w="4803" w:type="dxa"/>
            <w:vAlign w:val="center"/>
          </w:tcPr>
          <w:p w14:paraId="010A3208" w14:textId="36840BD4" w:rsidR="007B0892" w:rsidRPr="007E3D0B" w:rsidRDefault="007B0892" w:rsidP="00214EF1">
            <w:pPr>
              <w:spacing w:before="0" w:after="0"/>
              <w:jc w:val="center"/>
              <w:rPr>
                <w:rFonts w:asciiTheme="minorHAnsi" w:hAnsiTheme="minorHAnsi" w:cstheme="minorHAnsi"/>
                <w:color w:val="000000" w:themeColor="text1"/>
              </w:rPr>
            </w:pPr>
          </w:p>
        </w:tc>
      </w:tr>
    </w:tbl>
    <w:p w14:paraId="2C863ADC" w14:textId="77777777" w:rsidR="00F00AE0" w:rsidRPr="007E3D0B" w:rsidRDefault="00F00AE0" w:rsidP="007B0892">
      <w:pPr>
        <w:rPr>
          <w:rFonts w:asciiTheme="minorHAnsi" w:hAnsiTheme="minorHAnsi" w:cstheme="minorHAnsi"/>
          <w:color w:val="000000" w:themeColor="text1"/>
        </w:rPr>
      </w:pPr>
    </w:p>
    <w:p w14:paraId="348CDCA5" w14:textId="77777777" w:rsidR="00F00AE0" w:rsidRPr="007E3D0B" w:rsidRDefault="00F00AE0" w:rsidP="007B0892">
      <w:pPr>
        <w:rPr>
          <w:rFonts w:asciiTheme="minorHAnsi" w:hAnsiTheme="minorHAnsi" w:cstheme="minorHAnsi"/>
          <w:color w:val="000000" w:themeColor="text1"/>
        </w:rPr>
      </w:pPr>
    </w:p>
    <w:p w14:paraId="1AF96DCD" w14:textId="77777777" w:rsidR="00F00AE0" w:rsidRPr="007E3D0B" w:rsidRDefault="00F00AE0" w:rsidP="00F00AE0">
      <w:pPr>
        <w:spacing w:before="0"/>
        <w:jc w:val="center"/>
        <w:rPr>
          <w:rFonts w:asciiTheme="minorHAnsi" w:hAnsiTheme="minorHAnsi" w:cstheme="minorHAnsi"/>
          <w:b/>
          <w:bCs/>
          <w:color w:val="000000" w:themeColor="text1"/>
        </w:rPr>
      </w:pPr>
      <w:r w:rsidRPr="007E3D0B">
        <w:rPr>
          <w:rFonts w:asciiTheme="minorHAnsi" w:hAnsiTheme="minorHAnsi" w:cstheme="minorHAnsi"/>
          <w:b/>
          <w:bCs/>
          <w:color w:val="000000" w:themeColor="text1"/>
        </w:rPr>
        <w:t>Membros do Comitê de Investimentos</w:t>
      </w:r>
    </w:p>
    <w:p w14:paraId="1C915EFC" w14:textId="77777777" w:rsidR="00686682" w:rsidRPr="00A92A3E" w:rsidRDefault="00686682" w:rsidP="00686682">
      <w:pPr>
        <w:spacing w:before="0"/>
        <w:jc w:val="center"/>
        <w:rPr>
          <w:rFonts w:asciiTheme="minorHAnsi" w:hAnsiTheme="minorHAnsi" w:cstheme="minorHAnsi"/>
          <w:b/>
          <w:bCs/>
          <w:sz w:val="16"/>
          <w:szCs w:val="16"/>
        </w:rPr>
      </w:pPr>
    </w:p>
    <w:p w14:paraId="0FF59B3A" w14:textId="77777777" w:rsidR="00686682" w:rsidRPr="00686682" w:rsidRDefault="00686682" w:rsidP="00686682">
      <w:pPr>
        <w:spacing w:before="0"/>
        <w:jc w:val="center"/>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5147"/>
      </w:tblGrid>
      <w:tr w:rsidR="00686682" w:rsidRPr="00686682" w14:paraId="6D7077D9" w14:textId="77777777" w:rsidTr="00222CC4">
        <w:tc>
          <w:tcPr>
            <w:tcW w:w="4247" w:type="dxa"/>
            <w:vAlign w:val="center"/>
          </w:tcPr>
          <w:p w14:paraId="5C50C3F4" w14:textId="19A47941"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______________________________________</w:t>
            </w:r>
          </w:p>
        </w:tc>
        <w:tc>
          <w:tcPr>
            <w:tcW w:w="4247" w:type="dxa"/>
            <w:vAlign w:val="center"/>
          </w:tcPr>
          <w:p w14:paraId="217A5736" w14:textId="05EE4259"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_____________________________________________</w:t>
            </w:r>
          </w:p>
        </w:tc>
      </w:tr>
      <w:tr w:rsidR="00686682" w:rsidRPr="00686682" w14:paraId="1C9319FF" w14:textId="77777777" w:rsidTr="00222CC4">
        <w:tc>
          <w:tcPr>
            <w:tcW w:w="4247" w:type="dxa"/>
            <w:vAlign w:val="center"/>
          </w:tcPr>
          <w:p w14:paraId="0EB2B9BE"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 xml:space="preserve">Helio Augusto Moraes    </w:t>
            </w:r>
          </w:p>
        </w:tc>
        <w:tc>
          <w:tcPr>
            <w:tcW w:w="4247" w:type="dxa"/>
            <w:vAlign w:val="center"/>
          </w:tcPr>
          <w:p w14:paraId="798C75E0"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 xml:space="preserve">Maria de Lourdes </w:t>
            </w:r>
            <w:proofErr w:type="spellStart"/>
            <w:r w:rsidRPr="00686682">
              <w:rPr>
                <w:rFonts w:asciiTheme="minorHAnsi" w:hAnsiTheme="minorHAnsi" w:cstheme="minorHAnsi"/>
              </w:rPr>
              <w:t>Villalva</w:t>
            </w:r>
            <w:proofErr w:type="spellEnd"/>
          </w:p>
        </w:tc>
      </w:tr>
      <w:tr w:rsidR="00686682" w:rsidRPr="00686682" w14:paraId="2E9C1059" w14:textId="77777777" w:rsidTr="00222CC4">
        <w:tc>
          <w:tcPr>
            <w:tcW w:w="4247" w:type="dxa"/>
            <w:vAlign w:val="center"/>
          </w:tcPr>
          <w:p w14:paraId="52591CC9"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Comitê de Investimentos</w:t>
            </w:r>
          </w:p>
        </w:tc>
        <w:tc>
          <w:tcPr>
            <w:tcW w:w="4247" w:type="dxa"/>
            <w:vAlign w:val="center"/>
          </w:tcPr>
          <w:p w14:paraId="3FB219FF"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Comitê de Investimentos</w:t>
            </w:r>
          </w:p>
        </w:tc>
      </w:tr>
    </w:tbl>
    <w:p w14:paraId="342BEF77" w14:textId="77777777" w:rsidR="00686682" w:rsidRPr="00686682" w:rsidRDefault="00686682" w:rsidP="00686682">
      <w:pPr>
        <w:rPr>
          <w:rFonts w:asciiTheme="minorHAnsi" w:hAnsiTheme="minorHAnsi" w:cstheme="minorHAnsi"/>
        </w:rPr>
      </w:pPr>
    </w:p>
    <w:p w14:paraId="148E6680" w14:textId="77777777" w:rsidR="00686682" w:rsidRPr="00686682" w:rsidRDefault="00686682" w:rsidP="00686682">
      <w:pPr>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4053"/>
      </w:tblGrid>
      <w:tr w:rsidR="00686682" w:rsidRPr="00686682" w14:paraId="61B68B55" w14:textId="77777777" w:rsidTr="00222CC4">
        <w:tc>
          <w:tcPr>
            <w:tcW w:w="4247" w:type="dxa"/>
            <w:vAlign w:val="center"/>
          </w:tcPr>
          <w:p w14:paraId="35FEEDCE"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_________________________________________________</w:t>
            </w:r>
          </w:p>
        </w:tc>
        <w:tc>
          <w:tcPr>
            <w:tcW w:w="4247" w:type="dxa"/>
            <w:vAlign w:val="center"/>
          </w:tcPr>
          <w:p w14:paraId="0FF5BF3F" w14:textId="77777777" w:rsidR="00686682" w:rsidRPr="00686682" w:rsidRDefault="00686682" w:rsidP="00222CC4">
            <w:pPr>
              <w:spacing w:before="0" w:after="0"/>
              <w:jc w:val="center"/>
              <w:rPr>
                <w:rFonts w:asciiTheme="minorHAnsi" w:hAnsiTheme="minorHAnsi" w:cstheme="minorHAnsi"/>
              </w:rPr>
            </w:pPr>
          </w:p>
        </w:tc>
      </w:tr>
      <w:tr w:rsidR="00686682" w:rsidRPr="00686682" w14:paraId="74F22329" w14:textId="77777777" w:rsidTr="00222CC4">
        <w:tc>
          <w:tcPr>
            <w:tcW w:w="4247" w:type="dxa"/>
            <w:vAlign w:val="center"/>
          </w:tcPr>
          <w:p w14:paraId="330C259B"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Tatiana Felix dos Reis</w:t>
            </w:r>
          </w:p>
        </w:tc>
        <w:tc>
          <w:tcPr>
            <w:tcW w:w="4247" w:type="dxa"/>
            <w:vAlign w:val="center"/>
          </w:tcPr>
          <w:p w14:paraId="740B6A18" w14:textId="77777777" w:rsidR="00686682" w:rsidRPr="00686682" w:rsidRDefault="00686682" w:rsidP="00222CC4">
            <w:pPr>
              <w:spacing w:before="0" w:after="0"/>
              <w:jc w:val="center"/>
              <w:rPr>
                <w:rFonts w:asciiTheme="minorHAnsi" w:hAnsiTheme="minorHAnsi" w:cstheme="minorHAnsi"/>
              </w:rPr>
            </w:pPr>
          </w:p>
        </w:tc>
      </w:tr>
      <w:tr w:rsidR="00686682" w:rsidRPr="00686682" w14:paraId="5D87E246" w14:textId="77777777" w:rsidTr="00222CC4">
        <w:trPr>
          <w:trHeight w:val="80"/>
        </w:trPr>
        <w:tc>
          <w:tcPr>
            <w:tcW w:w="4247" w:type="dxa"/>
            <w:vAlign w:val="center"/>
          </w:tcPr>
          <w:p w14:paraId="083BD342" w14:textId="77777777" w:rsidR="00686682" w:rsidRPr="00686682" w:rsidRDefault="00686682" w:rsidP="00222CC4">
            <w:pPr>
              <w:spacing w:before="0" w:after="0"/>
              <w:jc w:val="center"/>
              <w:rPr>
                <w:rFonts w:asciiTheme="minorHAnsi" w:hAnsiTheme="minorHAnsi" w:cstheme="minorHAnsi"/>
              </w:rPr>
            </w:pPr>
            <w:r w:rsidRPr="00686682">
              <w:rPr>
                <w:rFonts w:asciiTheme="minorHAnsi" w:hAnsiTheme="minorHAnsi" w:cstheme="minorHAnsi"/>
              </w:rPr>
              <w:t>Comitê de Investimentos</w:t>
            </w:r>
          </w:p>
        </w:tc>
        <w:tc>
          <w:tcPr>
            <w:tcW w:w="4247" w:type="dxa"/>
            <w:vAlign w:val="center"/>
          </w:tcPr>
          <w:p w14:paraId="7A244C16" w14:textId="77777777" w:rsidR="00686682" w:rsidRPr="00686682" w:rsidRDefault="00686682" w:rsidP="00222CC4">
            <w:pPr>
              <w:spacing w:before="0" w:after="0"/>
              <w:jc w:val="center"/>
              <w:rPr>
                <w:rFonts w:asciiTheme="minorHAnsi" w:hAnsiTheme="minorHAnsi" w:cstheme="minorHAnsi"/>
              </w:rPr>
            </w:pPr>
          </w:p>
        </w:tc>
      </w:tr>
    </w:tbl>
    <w:p w14:paraId="6FFB677A" w14:textId="77777777" w:rsidR="00F00AE0" w:rsidRPr="007E3D0B" w:rsidRDefault="00F00AE0" w:rsidP="007B0892">
      <w:pPr>
        <w:rPr>
          <w:rFonts w:asciiTheme="minorHAnsi" w:hAnsiTheme="minorHAnsi" w:cstheme="minorHAnsi"/>
          <w:color w:val="000000" w:themeColor="text1"/>
        </w:rPr>
      </w:pPr>
    </w:p>
    <w:p w14:paraId="44D60825" w14:textId="77777777" w:rsidR="009C52B3" w:rsidRPr="007E3D0B" w:rsidRDefault="009C52B3" w:rsidP="009C52B3">
      <w:pPr>
        <w:spacing w:before="0"/>
        <w:jc w:val="center"/>
        <w:rPr>
          <w:rFonts w:asciiTheme="minorHAnsi" w:hAnsiTheme="minorHAnsi" w:cstheme="minorHAnsi"/>
          <w:b/>
          <w:bCs/>
          <w:color w:val="000000" w:themeColor="text1"/>
        </w:rPr>
      </w:pPr>
      <w:r w:rsidRPr="007E3D0B">
        <w:rPr>
          <w:rFonts w:asciiTheme="minorHAnsi" w:hAnsiTheme="minorHAnsi" w:cstheme="minorHAnsi"/>
          <w:b/>
          <w:bCs/>
          <w:color w:val="000000" w:themeColor="text1"/>
        </w:rPr>
        <w:t>Membros do Conselho Deliberativo</w:t>
      </w:r>
    </w:p>
    <w:p w14:paraId="620348A2" w14:textId="77777777" w:rsidR="009E027A" w:rsidRPr="007E3D0B" w:rsidRDefault="009E027A" w:rsidP="009C52B3">
      <w:pPr>
        <w:spacing w:before="0"/>
        <w:jc w:val="center"/>
        <w:rPr>
          <w:rFonts w:asciiTheme="minorHAnsi" w:hAnsiTheme="minorHAnsi" w:cstheme="minorHAnsi"/>
          <w:b/>
          <w:bCs/>
          <w:color w:val="000000" w:themeColor="text1"/>
        </w:rPr>
      </w:pPr>
    </w:p>
    <w:p w14:paraId="1E41A590" w14:textId="77777777" w:rsidR="00686682" w:rsidRDefault="00686682" w:rsidP="00686682">
      <w:pPr>
        <w:spacing w:before="0"/>
        <w:ind w:left="-1656" w:firstLine="1656"/>
        <w:rPr>
          <w:rFonts w:asciiTheme="minorHAnsi" w:hAnsiTheme="minorHAnsi" w:cstheme="minorHAnsi"/>
          <w:b/>
          <w:bCs/>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5366"/>
      </w:tblGrid>
      <w:tr w:rsidR="00686682" w:rsidRPr="00A92A3E" w14:paraId="668B1101" w14:textId="77777777" w:rsidTr="00222CC4">
        <w:tc>
          <w:tcPr>
            <w:tcW w:w="3372" w:type="dxa"/>
            <w:vAlign w:val="center"/>
          </w:tcPr>
          <w:p w14:paraId="577958A2" w14:textId="60723E00"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_____________________________________</w:t>
            </w:r>
          </w:p>
        </w:tc>
        <w:tc>
          <w:tcPr>
            <w:tcW w:w="3972" w:type="dxa"/>
            <w:vAlign w:val="center"/>
          </w:tcPr>
          <w:p w14:paraId="654A1817" w14:textId="77777777"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_______________________________________________</w:t>
            </w:r>
          </w:p>
        </w:tc>
      </w:tr>
      <w:tr w:rsidR="00686682" w:rsidRPr="00A92A3E" w14:paraId="735AF340" w14:textId="77777777" w:rsidTr="00222CC4">
        <w:tc>
          <w:tcPr>
            <w:tcW w:w="3372" w:type="dxa"/>
            <w:vAlign w:val="center"/>
          </w:tcPr>
          <w:p w14:paraId="00184DBA" w14:textId="09AED156"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Cléber de Jesus Mendes</w:t>
            </w:r>
          </w:p>
        </w:tc>
        <w:tc>
          <w:tcPr>
            <w:tcW w:w="3972" w:type="dxa"/>
            <w:vAlign w:val="center"/>
          </w:tcPr>
          <w:p w14:paraId="3F6A7D6F" w14:textId="67ECCC48"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Conceição Aparecida Inácio</w:t>
            </w:r>
          </w:p>
        </w:tc>
      </w:tr>
      <w:tr w:rsidR="00686682" w:rsidRPr="00A92A3E" w14:paraId="45B4B3A5" w14:textId="77777777" w:rsidTr="00222CC4">
        <w:tc>
          <w:tcPr>
            <w:tcW w:w="3372" w:type="dxa"/>
            <w:vAlign w:val="center"/>
          </w:tcPr>
          <w:p w14:paraId="0332C342" w14:textId="5897A367"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c>
          <w:tcPr>
            <w:tcW w:w="3972" w:type="dxa"/>
            <w:vAlign w:val="center"/>
          </w:tcPr>
          <w:p w14:paraId="4D7968C2" w14:textId="1851DF78"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r>
    </w:tbl>
    <w:p w14:paraId="405C9144" w14:textId="77777777" w:rsidR="00686682" w:rsidRDefault="00686682" w:rsidP="00686682">
      <w:pPr>
        <w:rPr>
          <w:rFonts w:asciiTheme="minorHAnsi" w:hAnsiTheme="minorHAnsi" w:cstheme="minorHAnsi"/>
          <w:sz w:val="16"/>
          <w:szCs w:val="16"/>
        </w:rPr>
      </w:pPr>
    </w:p>
    <w:p w14:paraId="3A3DACC1" w14:textId="77777777" w:rsidR="00686682" w:rsidRPr="00686682" w:rsidRDefault="00686682" w:rsidP="00686682">
      <w:pPr>
        <w:rPr>
          <w:rFonts w:asciiTheme="minorHAnsi" w:hAnsiTheme="minorHAnsi" w:cstheme="minorHAnsi"/>
        </w:rPr>
      </w:pPr>
    </w:p>
    <w:p w14:paraId="6B1933CA" w14:textId="77777777" w:rsidR="00686682" w:rsidRPr="00686682" w:rsidRDefault="00686682" w:rsidP="00686682">
      <w:pPr>
        <w:spacing w:before="0"/>
        <w:ind w:left="-1656" w:firstLine="1656"/>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366"/>
      </w:tblGrid>
      <w:tr w:rsidR="00686682" w:rsidRPr="00686682" w14:paraId="05F9CEEB" w14:textId="77777777" w:rsidTr="00222CC4">
        <w:tc>
          <w:tcPr>
            <w:tcW w:w="3352" w:type="dxa"/>
            <w:vAlign w:val="center"/>
          </w:tcPr>
          <w:p w14:paraId="40E4B7C1" w14:textId="3A51F10D"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w:t>
            </w:r>
          </w:p>
        </w:tc>
        <w:tc>
          <w:tcPr>
            <w:tcW w:w="3992" w:type="dxa"/>
            <w:vAlign w:val="center"/>
          </w:tcPr>
          <w:p w14:paraId="216A4C32" w14:textId="77777777"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_______________________________________________</w:t>
            </w:r>
          </w:p>
        </w:tc>
      </w:tr>
      <w:tr w:rsidR="00686682" w:rsidRPr="00686682" w14:paraId="02F3B341" w14:textId="77777777" w:rsidTr="00222CC4">
        <w:tc>
          <w:tcPr>
            <w:tcW w:w="3352" w:type="dxa"/>
            <w:vAlign w:val="center"/>
          </w:tcPr>
          <w:p w14:paraId="5B83BC0D" w14:textId="0434F5B2"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Erica Dorta</w:t>
            </w:r>
          </w:p>
        </w:tc>
        <w:tc>
          <w:tcPr>
            <w:tcW w:w="3992" w:type="dxa"/>
            <w:vAlign w:val="center"/>
          </w:tcPr>
          <w:p w14:paraId="67D21EC7" w14:textId="6DDBD73D"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 xml:space="preserve">Maria Ângela </w:t>
            </w:r>
            <w:proofErr w:type="spellStart"/>
            <w:r w:rsidRPr="00686682">
              <w:rPr>
                <w:rFonts w:asciiTheme="minorHAnsi" w:hAnsiTheme="minorHAnsi" w:cstheme="minorHAnsi"/>
              </w:rPr>
              <w:t>Bonas</w:t>
            </w:r>
            <w:proofErr w:type="spellEnd"/>
            <w:r w:rsidRPr="00686682">
              <w:rPr>
                <w:rFonts w:asciiTheme="minorHAnsi" w:hAnsiTheme="minorHAnsi" w:cstheme="minorHAnsi"/>
              </w:rPr>
              <w:t xml:space="preserve"> de Castro</w:t>
            </w:r>
          </w:p>
        </w:tc>
      </w:tr>
      <w:tr w:rsidR="00686682" w:rsidRPr="00686682" w14:paraId="6AE236E3" w14:textId="77777777" w:rsidTr="00222CC4">
        <w:tc>
          <w:tcPr>
            <w:tcW w:w="3352" w:type="dxa"/>
            <w:vAlign w:val="center"/>
          </w:tcPr>
          <w:p w14:paraId="5A307ADC" w14:textId="02043488"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c>
          <w:tcPr>
            <w:tcW w:w="3992" w:type="dxa"/>
            <w:vAlign w:val="center"/>
          </w:tcPr>
          <w:p w14:paraId="10E6373F" w14:textId="33B7E5D4"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r>
    </w:tbl>
    <w:p w14:paraId="03609BDA" w14:textId="77777777" w:rsidR="00686682" w:rsidRPr="00686682" w:rsidRDefault="00686682" w:rsidP="00686682">
      <w:pPr>
        <w:rPr>
          <w:rFonts w:asciiTheme="minorHAnsi" w:hAnsiTheme="minorHAnsi" w:cstheme="minorHAnsi"/>
        </w:rPr>
      </w:pPr>
    </w:p>
    <w:p w14:paraId="2C47B790" w14:textId="77777777" w:rsidR="00686682" w:rsidRPr="00686682" w:rsidRDefault="00686682" w:rsidP="00686682">
      <w:pPr>
        <w:rPr>
          <w:rFonts w:asciiTheme="minorHAnsi" w:hAnsiTheme="minorHAnsi" w:cstheme="minorHAnsi"/>
        </w:rPr>
      </w:pPr>
    </w:p>
    <w:p w14:paraId="5659E016" w14:textId="77777777" w:rsidR="00686682" w:rsidRPr="00686682" w:rsidRDefault="00686682" w:rsidP="00686682">
      <w:pPr>
        <w:rPr>
          <w:rFonts w:asciiTheme="minorHAnsi" w:hAnsiTheme="minorHAnsi" w:cstheme="minorHAnsi"/>
        </w:rPr>
      </w:pPr>
    </w:p>
    <w:p w14:paraId="50F67E7D" w14:textId="77777777" w:rsidR="00686682" w:rsidRPr="00686682" w:rsidRDefault="00686682" w:rsidP="00686682">
      <w:pPr>
        <w:spacing w:before="0"/>
        <w:ind w:left="-1656" w:firstLine="1656"/>
        <w:rPr>
          <w:rFonts w:asciiTheme="minorHAns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5366"/>
      </w:tblGrid>
      <w:tr w:rsidR="00686682" w:rsidRPr="00686682" w14:paraId="0AE48CE5" w14:textId="77777777" w:rsidTr="00222CC4">
        <w:tc>
          <w:tcPr>
            <w:tcW w:w="3368" w:type="dxa"/>
            <w:vAlign w:val="center"/>
          </w:tcPr>
          <w:p w14:paraId="1B5F5ABA" w14:textId="76B4F06F"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_____________________________________</w:t>
            </w:r>
            <w:r w:rsidR="00F75909">
              <w:rPr>
                <w:rFonts w:asciiTheme="minorHAnsi" w:hAnsiTheme="minorHAnsi" w:cstheme="minorHAnsi"/>
              </w:rPr>
              <w:t xml:space="preserve"> </w:t>
            </w:r>
          </w:p>
        </w:tc>
        <w:tc>
          <w:tcPr>
            <w:tcW w:w="3976" w:type="dxa"/>
            <w:vAlign w:val="center"/>
          </w:tcPr>
          <w:p w14:paraId="342858D4" w14:textId="77777777"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_______________________________________________</w:t>
            </w:r>
          </w:p>
        </w:tc>
      </w:tr>
      <w:tr w:rsidR="00686682" w:rsidRPr="00686682" w14:paraId="065A9AEA" w14:textId="77777777" w:rsidTr="00222CC4">
        <w:tc>
          <w:tcPr>
            <w:tcW w:w="3368" w:type="dxa"/>
            <w:vAlign w:val="center"/>
          </w:tcPr>
          <w:p w14:paraId="7CFDD26D" w14:textId="3CF6B108"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Ricardo Henrique Rodrigues de Souza</w:t>
            </w:r>
          </w:p>
        </w:tc>
        <w:tc>
          <w:tcPr>
            <w:tcW w:w="3976" w:type="dxa"/>
            <w:vAlign w:val="center"/>
          </w:tcPr>
          <w:p w14:paraId="307EAA5E" w14:textId="0334D596"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Vera Darci Lala Teixeira</w:t>
            </w:r>
          </w:p>
        </w:tc>
      </w:tr>
      <w:tr w:rsidR="00686682" w:rsidRPr="00686682" w14:paraId="68B6DF16" w14:textId="77777777" w:rsidTr="00222CC4">
        <w:tc>
          <w:tcPr>
            <w:tcW w:w="3368" w:type="dxa"/>
            <w:vAlign w:val="center"/>
          </w:tcPr>
          <w:p w14:paraId="5CF5B06A" w14:textId="10673D36"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c>
          <w:tcPr>
            <w:tcW w:w="3976" w:type="dxa"/>
            <w:vAlign w:val="center"/>
          </w:tcPr>
          <w:p w14:paraId="587DAF31" w14:textId="77777777" w:rsidR="00686682" w:rsidRPr="00686682" w:rsidRDefault="00686682" w:rsidP="00686682">
            <w:pPr>
              <w:spacing w:before="0" w:after="0"/>
              <w:jc w:val="center"/>
              <w:rPr>
                <w:rFonts w:asciiTheme="minorHAnsi" w:hAnsiTheme="minorHAnsi" w:cstheme="minorHAnsi"/>
              </w:rPr>
            </w:pPr>
            <w:r w:rsidRPr="00686682">
              <w:rPr>
                <w:rFonts w:asciiTheme="minorHAnsi" w:hAnsiTheme="minorHAnsi" w:cstheme="minorHAnsi"/>
              </w:rPr>
              <w:t>Conselho Deliberativo</w:t>
            </w:r>
          </w:p>
        </w:tc>
      </w:tr>
    </w:tbl>
    <w:p w14:paraId="4A994B99" w14:textId="77777777" w:rsidR="00686682" w:rsidRDefault="00686682" w:rsidP="00686682">
      <w:pPr>
        <w:rPr>
          <w:rFonts w:asciiTheme="minorHAnsi" w:hAnsiTheme="minorHAnsi" w:cstheme="minorHAnsi"/>
          <w:sz w:val="16"/>
          <w:szCs w:val="16"/>
        </w:rPr>
      </w:pPr>
    </w:p>
    <w:p w14:paraId="75F6090A" w14:textId="77777777" w:rsidR="00686682" w:rsidRDefault="00686682" w:rsidP="00686682">
      <w:pPr>
        <w:rPr>
          <w:rFonts w:asciiTheme="minorHAnsi" w:hAnsiTheme="minorHAnsi" w:cstheme="minorHAnsi"/>
          <w:sz w:val="16"/>
          <w:szCs w:val="16"/>
        </w:rPr>
      </w:pPr>
    </w:p>
    <w:p w14:paraId="7AC5CA60" w14:textId="77777777" w:rsidR="00686682" w:rsidRDefault="00686682" w:rsidP="00686682">
      <w:pPr>
        <w:rPr>
          <w:rFonts w:asciiTheme="minorHAnsi" w:hAnsiTheme="minorHAnsi" w:cstheme="minorHAnsi"/>
          <w:sz w:val="16"/>
          <w:szCs w:val="16"/>
        </w:rPr>
      </w:pPr>
    </w:p>
    <w:p w14:paraId="10F1CDEC" w14:textId="77777777" w:rsidR="00686682" w:rsidRDefault="00686682" w:rsidP="00686682">
      <w:pPr>
        <w:spacing w:before="0"/>
        <w:ind w:left="-1656" w:firstLine="1656"/>
        <w:rPr>
          <w:rFonts w:asciiTheme="minorHAnsi" w:hAnsiTheme="minorHAnsi" w:cstheme="minorHAnsi"/>
          <w:b/>
          <w:bCs/>
          <w:sz w:val="16"/>
          <w:szCs w:val="1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3132"/>
      </w:tblGrid>
      <w:tr w:rsidR="00686682" w:rsidRPr="00A92A3E" w14:paraId="5FCD16CE" w14:textId="77777777" w:rsidTr="00222CC4">
        <w:tc>
          <w:tcPr>
            <w:tcW w:w="4212" w:type="dxa"/>
            <w:vAlign w:val="center"/>
          </w:tcPr>
          <w:p w14:paraId="277592C1" w14:textId="1F21A041" w:rsidR="00686682" w:rsidRPr="00A92A3E" w:rsidRDefault="00686682" w:rsidP="00686682">
            <w:pPr>
              <w:spacing w:before="0" w:after="0"/>
              <w:jc w:val="center"/>
              <w:rPr>
                <w:rFonts w:asciiTheme="minorHAnsi" w:hAnsiTheme="minorHAnsi" w:cstheme="minorHAnsi"/>
                <w:sz w:val="16"/>
                <w:szCs w:val="16"/>
              </w:rPr>
            </w:pPr>
          </w:p>
        </w:tc>
        <w:tc>
          <w:tcPr>
            <w:tcW w:w="3132" w:type="dxa"/>
            <w:vAlign w:val="center"/>
          </w:tcPr>
          <w:p w14:paraId="648BBC8B" w14:textId="77777777" w:rsidR="00686682" w:rsidRPr="00A92A3E" w:rsidRDefault="00686682" w:rsidP="00686682">
            <w:pPr>
              <w:spacing w:before="0" w:after="0"/>
              <w:jc w:val="center"/>
              <w:rPr>
                <w:rFonts w:asciiTheme="minorHAnsi" w:hAnsiTheme="minorHAnsi" w:cstheme="minorHAnsi"/>
                <w:sz w:val="16"/>
                <w:szCs w:val="16"/>
              </w:rPr>
            </w:pPr>
          </w:p>
        </w:tc>
      </w:tr>
      <w:tr w:rsidR="00686682" w:rsidRPr="00A92A3E" w14:paraId="1AEA5C55" w14:textId="77777777" w:rsidTr="00222CC4">
        <w:tc>
          <w:tcPr>
            <w:tcW w:w="4212" w:type="dxa"/>
            <w:vAlign w:val="center"/>
          </w:tcPr>
          <w:p w14:paraId="59F0D5C5" w14:textId="1CF28694" w:rsidR="00686682" w:rsidRPr="00A92A3E" w:rsidRDefault="00686682" w:rsidP="00686682">
            <w:pPr>
              <w:spacing w:before="0" w:after="0"/>
              <w:jc w:val="center"/>
              <w:rPr>
                <w:rFonts w:asciiTheme="minorHAnsi" w:hAnsiTheme="minorHAnsi" w:cstheme="minorHAnsi"/>
                <w:sz w:val="16"/>
                <w:szCs w:val="16"/>
              </w:rPr>
            </w:pPr>
          </w:p>
        </w:tc>
        <w:tc>
          <w:tcPr>
            <w:tcW w:w="3132" w:type="dxa"/>
            <w:vAlign w:val="center"/>
          </w:tcPr>
          <w:p w14:paraId="0745C6DA" w14:textId="77777777" w:rsidR="00686682" w:rsidRPr="00A92A3E" w:rsidRDefault="00686682" w:rsidP="00686682">
            <w:pPr>
              <w:spacing w:before="0" w:after="0"/>
              <w:jc w:val="center"/>
              <w:rPr>
                <w:rFonts w:asciiTheme="minorHAnsi" w:hAnsiTheme="minorHAnsi" w:cstheme="minorHAnsi"/>
                <w:sz w:val="16"/>
                <w:szCs w:val="16"/>
              </w:rPr>
            </w:pPr>
          </w:p>
        </w:tc>
      </w:tr>
    </w:tbl>
    <w:p w14:paraId="4A52A9CD" w14:textId="77777777" w:rsidR="009C52B3" w:rsidRPr="007E3D0B" w:rsidRDefault="009C52B3" w:rsidP="007B0892">
      <w:pPr>
        <w:rPr>
          <w:rFonts w:asciiTheme="minorHAnsi" w:hAnsiTheme="minorHAnsi" w:cstheme="minorHAnsi"/>
          <w:color w:val="000000" w:themeColor="text1"/>
        </w:rPr>
      </w:pPr>
    </w:p>
    <w:p w14:paraId="6048EC4C" w14:textId="77777777" w:rsidR="00176209" w:rsidRPr="007E3D0B" w:rsidRDefault="00176209" w:rsidP="007B0892">
      <w:pPr>
        <w:rPr>
          <w:rFonts w:asciiTheme="minorHAnsi" w:hAnsiTheme="minorHAnsi" w:cstheme="minorHAnsi"/>
          <w:color w:val="000000" w:themeColor="text1"/>
        </w:rPr>
      </w:pPr>
    </w:p>
    <w:p w14:paraId="689DFCBE" w14:textId="77777777" w:rsidR="009B2726" w:rsidRPr="007E3D0B" w:rsidRDefault="009B2726">
      <w:pPr>
        <w:spacing w:before="0" w:after="160" w:line="259" w:lineRule="auto"/>
        <w:jc w:val="left"/>
        <w:rPr>
          <w:rFonts w:asciiTheme="minorHAnsi" w:hAnsiTheme="minorHAnsi" w:cstheme="minorHAnsi"/>
          <w:color w:val="000000" w:themeColor="text1"/>
        </w:rPr>
      </w:pPr>
      <w:r w:rsidRPr="007E3D0B">
        <w:rPr>
          <w:rFonts w:asciiTheme="minorHAnsi" w:hAnsiTheme="minorHAnsi" w:cstheme="minorHAnsi"/>
          <w:color w:val="000000" w:themeColor="text1"/>
        </w:rPr>
        <w:br w:type="page"/>
      </w:r>
    </w:p>
    <w:p w14:paraId="0FF5FCC3" w14:textId="77777777" w:rsidR="009B2726" w:rsidRPr="007E3D0B" w:rsidRDefault="009B2726" w:rsidP="009B2726">
      <w:pPr>
        <w:spacing w:before="0" w:after="160" w:line="259" w:lineRule="auto"/>
        <w:jc w:val="left"/>
        <w:rPr>
          <w:rFonts w:asciiTheme="minorHAnsi" w:hAnsiTheme="minorHAnsi" w:cstheme="minorHAnsi"/>
          <w:color w:val="000000" w:themeColor="text1"/>
        </w:rPr>
      </w:pPr>
    </w:p>
    <w:p w14:paraId="6AEE825B" w14:textId="77777777" w:rsidR="00176209" w:rsidRPr="007E3D0B" w:rsidRDefault="00176209" w:rsidP="009820E8">
      <w:pPr>
        <w:pStyle w:val="Ttulo1"/>
        <w:numPr>
          <w:ilvl w:val="0"/>
          <w:numId w:val="0"/>
        </w:numPr>
        <w:ind w:left="360"/>
        <w:jc w:val="center"/>
        <w:rPr>
          <w:rFonts w:asciiTheme="minorHAnsi" w:hAnsiTheme="minorHAnsi" w:cstheme="minorHAnsi"/>
          <w:color w:val="000000" w:themeColor="text1"/>
          <w:sz w:val="22"/>
          <w:szCs w:val="22"/>
        </w:rPr>
      </w:pPr>
      <w:bookmarkStart w:id="139" w:name="_Toc213399446"/>
      <w:r w:rsidRPr="007E3D0B">
        <w:rPr>
          <w:rFonts w:asciiTheme="minorHAnsi" w:hAnsiTheme="minorHAnsi" w:cstheme="minorHAnsi"/>
          <w:color w:val="000000" w:themeColor="text1"/>
          <w:sz w:val="22"/>
          <w:szCs w:val="22"/>
        </w:rPr>
        <w:t>ANEXO I – PANORAMA ECONÔMICO</w:t>
      </w:r>
      <w:bookmarkEnd w:id="139"/>
    </w:p>
    <w:sectPr w:rsidR="00176209" w:rsidRPr="007E3D0B" w:rsidSect="00512627">
      <w:headerReference w:type="even" r:id="rId8"/>
      <w:headerReference w:type="default" r:id="rId9"/>
      <w:footerReference w:type="default" r:id="rId10"/>
      <w:headerReference w:type="first" r:id="rId11"/>
      <w:pgSz w:w="11906" w:h="16838" w:code="9"/>
      <w:pgMar w:top="1701" w:right="1134" w:bottom="1134"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D390" w14:textId="77777777" w:rsidR="00AB7E40" w:rsidRDefault="00AB7E40" w:rsidP="006638D4">
      <w:pPr>
        <w:spacing w:before="0" w:after="0"/>
      </w:pPr>
      <w:r>
        <w:separator/>
      </w:r>
    </w:p>
  </w:endnote>
  <w:endnote w:type="continuationSeparator" w:id="0">
    <w:p w14:paraId="4E563F58" w14:textId="77777777" w:rsidR="00AB7E40" w:rsidRDefault="00AB7E40" w:rsidP="006638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ntona Light">
    <w:altName w:val="Cambria"/>
    <w:panose1 w:val="00000000000000000000"/>
    <w:charset w:val="00"/>
    <w:family w:val="modern"/>
    <w:notTrueType/>
    <w:pitch w:val="variable"/>
    <w:sig w:usb0="00000007" w:usb1="00000000" w:usb2="00000000" w:usb3="00000000" w:csb0="00000093" w:csb1="00000000"/>
  </w:font>
  <w:font w:name="Gentona Book">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87494"/>
      <w:docPartObj>
        <w:docPartGallery w:val="Page Numbers (Bottom of Page)"/>
        <w:docPartUnique/>
      </w:docPartObj>
    </w:sdtPr>
    <w:sdtContent>
      <w:p w14:paraId="1DBCA590" w14:textId="77777777" w:rsidR="00512627" w:rsidRDefault="00512627">
        <w:pPr>
          <w:pStyle w:val="Rodap"/>
          <w:jc w:val="center"/>
        </w:pPr>
        <w:r>
          <w:fldChar w:fldCharType="begin"/>
        </w:r>
        <w:r>
          <w:instrText>PAGE   \* MERGEFORMAT</w:instrText>
        </w:r>
        <w:r>
          <w:fldChar w:fldCharType="separate"/>
        </w:r>
        <w:r>
          <w:t>2</w:t>
        </w:r>
        <w:r>
          <w:fldChar w:fldCharType="end"/>
        </w:r>
      </w:p>
    </w:sdtContent>
  </w:sdt>
  <w:p w14:paraId="692843BA" w14:textId="77777777" w:rsidR="00512627" w:rsidRDefault="005126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6CC2" w14:textId="77777777" w:rsidR="00AB7E40" w:rsidRDefault="00AB7E40" w:rsidP="006638D4">
      <w:pPr>
        <w:spacing w:before="0" w:after="0"/>
      </w:pPr>
      <w:r>
        <w:separator/>
      </w:r>
    </w:p>
  </w:footnote>
  <w:footnote w:type="continuationSeparator" w:id="0">
    <w:p w14:paraId="55EBF642" w14:textId="77777777" w:rsidR="00AB7E40" w:rsidRDefault="00AB7E40" w:rsidP="006638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E119" w14:textId="77777777" w:rsidR="00052A57" w:rsidRDefault="00000000">
    <w:pPr>
      <w:jc w:val="left"/>
    </w:pPr>
    <w:r>
      <w:rPr>
        <w:noProof/>
      </w:rPr>
      <w:drawing>
        <wp:inline distT="0" distB="0" distL="0" distR="0" wp14:anchorId="6EEB086D" wp14:editId="49AF2A65">
          <wp:extent cx="1270000" cy="1270000"/>
          <wp:effectExtent l="0" t="0" r="0" b="0"/>
          <wp:docPr id="142" name="Imagem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70000" cy="127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02F7" w14:textId="77777777" w:rsidR="00D4250A" w:rsidRPr="00767B6C" w:rsidRDefault="00D4250A" w:rsidP="00D4250A">
    <w:pPr>
      <w:pStyle w:val="Cabealho"/>
      <w:ind w:left="851" w:firstLine="283"/>
      <w:jc w:val="center"/>
      <w:rPr>
        <w:b/>
        <w:sz w:val="24"/>
        <w:szCs w:val="24"/>
      </w:rPr>
    </w:pPr>
    <w:r>
      <w:rPr>
        <w:noProof/>
      </w:rPr>
      <w:t xml:space="preserve">       </w:t>
    </w:r>
    <w:r w:rsidRPr="00674B54">
      <w:rPr>
        <w:b/>
        <w:noProof/>
        <w:sz w:val="24"/>
        <w:szCs w:val="24"/>
        <w:lang w:eastAsia="pt-BR"/>
      </w:rPr>
      <w:drawing>
        <wp:anchor distT="0" distB="0" distL="114300" distR="114300" simplePos="0" relativeHeight="251661312" behindDoc="0" locked="0" layoutInCell="1" allowOverlap="1" wp14:anchorId="2FB76431" wp14:editId="298B8318">
          <wp:simplePos x="0" y="0"/>
          <wp:positionH relativeFrom="column">
            <wp:posOffset>-428625</wp:posOffset>
          </wp:positionH>
          <wp:positionV relativeFrom="paragraph">
            <wp:posOffset>85725</wp:posOffset>
          </wp:positionV>
          <wp:extent cx="1040130" cy="990600"/>
          <wp:effectExtent l="19050" t="0" r="7620" b="0"/>
          <wp:wrapNone/>
          <wp:docPr id="778911528" name="Imagem 778911528"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09181" name="Imagem 943909181" descr="Logotipo&#10;&#10;O conteúdo gerado por IA pode estar incorreto."/>
                  <pic:cNvPicPr>
                    <a:picLocks noChangeAspect="1" noChangeArrowheads="1"/>
                  </pic:cNvPicPr>
                </pic:nvPicPr>
                <pic:blipFill>
                  <a:blip r:embed="rId1"/>
                  <a:srcRect/>
                  <a:stretch>
                    <a:fillRect/>
                  </a:stretch>
                </pic:blipFill>
                <pic:spPr bwMode="auto">
                  <a:xfrm>
                    <a:off x="0" y="0"/>
                    <a:ext cx="1040130" cy="990600"/>
                  </a:xfrm>
                  <a:prstGeom prst="rect">
                    <a:avLst/>
                  </a:prstGeom>
                  <a:noFill/>
                  <a:ln w="9525">
                    <a:noFill/>
                    <a:miter lim="800000"/>
                    <a:headEnd/>
                    <a:tailEnd/>
                  </a:ln>
                </pic:spPr>
              </pic:pic>
            </a:graphicData>
          </a:graphic>
        </wp:anchor>
      </w:drawing>
    </w:r>
    <w:r w:rsidRPr="00767B6C">
      <w:rPr>
        <w:b/>
        <w:sz w:val="24"/>
        <w:szCs w:val="24"/>
      </w:rPr>
      <w:t>Instituto de Previdência Municipal de Santo Antônio de Posse – IPREM POSSE</w:t>
    </w:r>
  </w:p>
  <w:p w14:paraId="505EC43A" w14:textId="77777777" w:rsidR="00D4250A" w:rsidRDefault="00D4250A" w:rsidP="00D4250A">
    <w:pPr>
      <w:pStyle w:val="Cabealho"/>
      <w:jc w:val="center"/>
    </w:pPr>
    <w:r>
      <w:t xml:space="preserve">    Rua: Aurélio Sia, 73, </w:t>
    </w:r>
    <w:proofErr w:type="spellStart"/>
    <w:r>
      <w:t>Jd</w:t>
    </w:r>
    <w:proofErr w:type="spellEnd"/>
    <w:r>
      <w:t xml:space="preserve"> Luciana, Santo Antônio de Posse/SP</w:t>
    </w:r>
  </w:p>
  <w:p w14:paraId="5E9AC0B5" w14:textId="77777777" w:rsidR="00D4250A" w:rsidRPr="002A5589" w:rsidRDefault="00D4250A" w:rsidP="00D4250A">
    <w:pPr>
      <w:pStyle w:val="Cabealho"/>
      <w:jc w:val="center"/>
    </w:pPr>
    <w:r>
      <w:t xml:space="preserve">          CNPJ: 10.625.602/0001-98     Telefones: (19)3896-3832 e 3896-4403       </w:t>
    </w:r>
    <w:r w:rsidRPr="00547227">
      <w:t>iprem@pmsaposse.sp.gov.br</w:t>
    </w:r>
  </w:p>
  <w:p w14:paraId="2B4852BC" w14:textId="71DFBF36" w:rsidR="00052A57" w:rsidRDefault="00052A57">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7680" w14:textId="77777777" w:rsidR="00D4250A" w:rsidRPr="00767B6C" w:rsidRDefault="00D4250A" w:rsidP="00D4250A">
    <w:pPr>
      <w:pStyle w:val="Cabealho"/>
      <w:ind w:left="851" w:firstLine="283"/>
      <w:jc w:val="center"/>
      <w:rPr>
        <w:b/>
        <w:sz w:val="24"/>
        <w:szCs w:val="24"/>
      </w:rPr>
    </w:pPr>
    <w:r w:rsidRPr="00674B54">
      <w:rPr>
        <w:b/>
        <w:noProof/>
        <w:sz w:val="24"/>
        <w:szCs w:val="24"/>
        <w:lang w:eastAsia="pt-BR"/>
      </w:rPr>
      <w:drawing>
        <wp:anchor distT="0" distB="0" distL="114300" distR="114300" simplePos="0" relativeHeight="251659264" behindDoc="0" locked="0" layoutInCell="1" allowOverlap="1" wp14:anchorId="5119F981" wp14:editId="4DAF34FA">
          <wp:simplePos x="0" y="0"/>
          <wp:positionH relativeFrom="column">
            <wp:posOffset>-428625</wp:posOffset>
          </wp:positionH>
          <wp:positionV relativeFrom="paragraph">
            <wp:posOffset>85725</wp:posOffset>
          </wp:positionV>
          <wp:extent cx="1040130" cy="990600"/>
          <wp:effectExtent l="19050" t="0" r="7620" b="0"/>
          <wp:wrapNone/>
          <wp:docPr id="943909181" name="Imagem 94390918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09181" name="Imagem 943909181" descr="Logotipo&#10;&#10;O conteúdo gerado por IA pode estar incorreto."/>
                  <pic:cNvPicPr>
                    <a:picLocks noChangeAspect="1" noChangeArrowheads="1"/>
                  </pic:cNvPicPr>
                </pic:nvPicPr>
                <pic:blipFill>
                  <a:blip r:embed="rId1"/>
                  <a:srcRect/>
                  <a:stretch>
                    <a:fillRect/>
                  </a:stretch>
                </pic:blipFill>
                <pic:spPr bwMode="auto">
                  <a:xfrm>
                    <a:off x="0" y="0"/>
                    <a:ext cx="1040130" cy="990600"/>
                  </a:xfrm>
                  <a:prstGeom prst="rect">
                    <a:avLst/>
                  </a:prstGeom>
                  <a:noFill/>
                  <a:ln w="9525">
                    <a:noFill/>
                    <a:miter lim="800000"/>
                    <a:headEnd/>
                    <a:tailEnd/>
                  </a:ln>
                </pic:spPr>
              </pic:pic>
            </a:graphicData>
          </a:graphic>
        </wp:anchor>
      </w:drawing>
    </w:r>
    <w:r w:rsidRPr="00767B6C">
      <w:rPr>
        <w:b/>
        <w:sz w:val="24"/>
        <w:szCs w:val="24"/>
      </w:rPr>
      <w:t>Instituto de Previdência Municipal de Santo Antônio de Posse – IPREM POSSE</w:t>
    </w:r>
  </w:p>
  <w:p w14:paraId="1E5CD7BB" w14:textId="77777777" w:rsidR="00D4250A" w:rsidRDefault="00D4250A" w:rsidP="00D4250A">
    <w:pPr>
      <w:pStyle w:val="Cabealho"/>
      <w:jc w:val="center"/>
    </w:pPr>
    <w:r>
      <w:t xml:space="preserve">    Rua: Aurélio Sia, 73, </w:t>
    </w:r>
    <w:proofErr w:type="spellStart"/>
    <w:r>
      <w:t>Jd</w:t>
    </w:r>
    <w:proofErr w:type="spellEnd"/>
    <w:r>
      <w:t xml:space="preserve"> Luciana, Santo Antônio de Posse/SP</w:t>
    </w:r>
  </w:p>
  <w:p w14:paraId="6ACCE27E" w14:textId="77777777" w:rsidR="00D4250A" w:rsidRPr="002A5589" w:rsidRDefault="00D4250A" w:rsidP="00D4250A">
    <w:pPr>
      <w:pStyle w:val="Cabealho"/>
      <w:jc w:val="center"/>
    </w:pPr>
    <w:r>
      <w:t xml:space="preserve">          CNPJ: 10.625.602/0001-98     Telefones: (19)3896-3832 e 3896-4403       </w:t>
    </w:r>
    <w:r w:rsidRPr="00547227">
      <w:t>iprem@pmsaposse.sp.gov.br</w:t>
    </w:r>
  </w:p>
  <w:p w14:paraId="4D34A983" w14:textId="2AF2E275" w:rsidR="00052A57" w:rsidRDefault="00052A57">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E66B1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AE4B99"/>
    <w:multiLevelType w:val="hybridMultilevel"/>
    <w:tmpl w:val="C504E1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0B84B17"/>
    <w:multiLevelType w:val="hybridMultilevel"/>
    <w:tmpl w:val="E3802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CE14BB"/>
    <w:multiLevelType w:val="multilevel"/>
    <w:tmpl w:val="B1523530"/>
    <w:lvl w:ilvl="0">
      <w:start w:val="1"/>
      <w:numFmt w:val="decimal"/>
      <w:pStyle w:val="Ttulo1"/>
      <w:lvlText w:val="%1."/>
      <w:lvlJc w:val="left"/>
      <w:pPr>
        <w:ind w:left="360" w:hanging="360"/>
      </w:pPr>
    </w:lvl>
    <w:lvl w:ilvl="1">
      <w:start w:val="1"/>
      <w:numFmt w:val="decimal"/>
      <w:pStyle w:val="Ttulo2"/>
      <w:lvlText w:val="%1.%2."/>
      <w:lvlJc w:val="left"/>
      <w:pPr>
        <w:ind w:left="5818"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9E1E6A"/>
    <w:multiLevelType w:val="hybridMultilevel"/>
    <w:tmpl w:val="F0D25F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F23661"/>
    <w:multiLevelType w:val="hybridMultilevel"/>
    <w:tmpl w:val="BF8AC8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C5376E"/>
    <w:multiLevelType w:val="hybridMultilevel"/>
    <w:tmpl w:val="90905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5375AA"/>
    <w:multiLevelType w:val="hybridMultilevel"/>
    <w:tmpl w:val="8DDA5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903666"/>
    <w:multiLevelType w:val="hybridMultilevel"/>
    <w:tmpl w:val="69D231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828724C"/>
    <w:multiLevelType w:val="hybridMultilevel"/>
    <w:tmpl w:val="164CCF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243796"/>
    <w:multiLevelType w:val="hybridMultilevel"/>
    <w:tmpl w:val="61429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726038"/>
    <w:multiLevelType w:val="hybridMultilevel"/>
    <w:tmpl w:val="2A985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E447B2"/>
    <w:multiLevelType w:val="hybridMultilevel"/>
    <w:tmpl w:val="556EB7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A12AA3"/>
    <w:multiLevelType w:val="hybridMultilevel"/>
    <w:tmpl w:val="F0940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CF29E0"/>
    <w:multiLevelType w:val="hybridMultilevel"/>
    <w:tmpl w:val="5E1EFD1C"/>
    <w:lvl w:ilvl="0" w:tplc="BAE0D1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5D6FB5"/>
    <w:multiLevelType w:val="hybridMultilevel"/>
    <w:tmpl w:val="7556FD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8846707"/>
    <w:multiLevelType w:val="hybridMultilevel"/>
    <w:tmpl w:val="696CC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91E6945"/>
    <w:multiLevelType w:val="hybridMultilevel"/>
    <w:tmpl w:val="76925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7B6EF3"/>
    <w:multiLevelType w:val="hybridMultilevel"/>
    <w:tmpl w:val="768C43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DB5732"/>
    <w:multiLevelType w:val="hybridMultilevel"/>
    <w:tmpl w:val="E16EF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F36721"/>
    <w:multiLevelType w:val="hybridMultilevel"/>
    <w:tmpl w:val="76E0F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1DF51D3"/>
    <w:multiLevelType w:val="hybridMultilevel"/>
    <w:tmpl w:val="9EC2FC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F0429F"/>
    <w:multiLevelType w:val="hybridMultilevel"/>
    <w:tmpl w:val="1B669F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D33F98"/>
    <w:multiLevelType w:val="hybridMultilevel"/>
    <w:tmpl w:val="B9FA5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6E41F28"/>
    <w:multiLevelType w:val="hybridMultilevel"/>
    <w:tmpl w:val="734E10B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0019B5"/>
    <w:multiLevelType w:val="hybridMultilevel"/>
    <w:tmpl w:val="B78620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F3E1763"/>
    <w:multiLevelType w:val="hybridMultilevel"/>
    <w:tmpl w:val="D960B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3573ABF"/>
    <w:multiLevelType w:val="hybridMultilevel"/>
    <w:tmpl w:val="F8FEDD4A"/>
    <w:lvl w:ilvl="0" w:tplc="C150D3D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7627912"/>
    <w:multiLevelType w:val="hybridMultilevel"/>
    <w:tmpl w:val="D2FED6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7B3ACF"/>
    <w:multiLevelType w:val="hybridMultilevel"/>
    <w:tmpl w:val="AB1262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D383C1B"/>
    <w:multiLevelType w:val="hybridMultilevel"/>
    <w:tmpl w:val="4B9CF4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DA9287E"/>
    <w:multiLevelType w:val="hybridMultilevel"/>
    <w:tmpl w:val="2834A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33B74C8"/>
    <w:multiLevelType w:val="hybridMultilevel"/>
    <w:tmpl w:val="EA58BD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CA5B20"/>
    <w:multiLevelType w:val="hybridMultilevel"/>
    <w:tmpl w:val="4B0464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97B28B0"/>
    <w:multiLevelType w:val="hybridMultilevel"/>
    <w:tmpl w:val="48BCB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AC539CE"/>
    <w:multiLevelType w:val="hybridMultilevel"/>
    <w:tmpl w:val="8E7A4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AE27664"/>
    <w:multiLevelType w:val="hybridMultilevel"/>
    <w:tmpl w:val="65A00B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85040748">
    <w:abstractNumId w:val="3"/>
  </w:num>
  <w:num w:numId="2" w16cid:durableId="1040399074">
    <w:abstractNumId w:val="14"/>
  </w:num>
  <w:num w:numId="3" w16cid:durableId="1739205327">
    <w:abstractNumId w:val="32"/>
  </w:num>
  <w:num w:numId="4" w16cid:durableId="855647">
    <w:abstractNumId w:val="22"/>
  </w:num>
  <w:num w:numId="5" w16cid:durableId="393820807">
    <w:abstractNumId w:val="35"/>
  </w:num>
  <w:num w:numId="6" w16cid:durableId="280577147">
    <w:abstractNumId w:val="27"/>
  </w:num>
  <w:num w:numId="7" w16cid:durableId="333727904">
    <w:abstractNumId w:val="24"/>
  </w:num>
  <w:num w:numId="8" w16cid:durableId="541788044">
    <w:abstractNumId w:val="21"/>
  </w:num>
  <w:num w:numId="9" w16cid:durableId="1112286103">
    <w:abstractNumId w:val="11"/>
  </w:num>
  <w:num w:numId="10" w16cid:durableId="1320230197">
    <w:abstractNumId w:val="0"/>
  </w:num>
  <w:num w:numId="11" w16cid:durableId="1307585293">
    <w:abstractNumId w:val="18"/>
  </w:num>
  <w:num w:numId="12" w16cid:durableId="935863605">
    <w:abstractNumId w:val="9"/>
  </w:num>
  <w:num w:numId="13" w16cid:durableId="749621490">
    <w:abstractNumId w:val="10"/>
  </w:num>
  <w:num w:numId="14" w16cid:durableId="443227710">
    <w:abstractNumId w:val="29"/>
  </w:num>
  <w:num w:numId="15" w16cid:durableId="1329866823">
    <w:abstractNumId w:val="30"/>
  </w:num>
  <w:num w:numId="16" w16cid:durableId="558637937">
    <w:abstractNumId w:val="26"/>
  </w:num>
  <w:num w:numId="17" w16cid:durableId="787309877">
    <w:abstractNumId w:val="1"/>
  </w:num>
  <w:num w:numId="18" w16cid:durableId="1532451667">
    <w:abstractNumId w:val="23"/>
  </w:num>
  <w:num w:numId="19" w16cid:durableId="2142071243">
    <w:abstractNumId w:val="25"/>
  </w:num>
  <w:num w:numId="20" w16cid:durableId="922103144">
    <w:abstractNumId w:val="13"/>
  </w:num>
  <w:num w:numId="21" w16cid:durableId="1230340063">
    <w:abstractNumId w:val="33"/>
  </w:num>
  <w:num w:numId="22" w16cid:durableId="2013482783">
    <w:abstractNumId w:val="8"/>
  </w:num>
  <w:num w:numId="23" w16cid:durableId="992835065">
    <w:abstractNumId w:val="15"/>
  </w:num>
  <w:num w:numId="24" w16cid:durableId="71705745">
    <w:abstractNumId w:val="2"/>
  </w:num>
  <w:num w:numId="25" w16cid:durableId="1844782552">
    <w:abstractNumId w:val="7"/>
  </w:num>
  <w:num w:numId="26" w16cid:durableId="411976485">
    <w:abstractNumId w:val="6"/>
  </w:num>
  <w:num w:numId="27" w16cid:durableId="1763213029">
    <w:abstractNumId w:val="28"/>
  </w:num>
  <w:num w:numId="28" w16cid:durableId="896629791">
    <w:abstractNumId w:val="36"/>
  </w:num>
  <w:num w:numId="29" w16cid:durableId="1653409141">
    <w:abstractNumId w:val="34"/>
  </w:num>
  <w:num w:numId="30" w16cid:durableId="1704088948">
    <w:abstractNumId w:val="4"/>
  </w:num>
  <w:num w:numId="31" w16cid:durableId="759984503">
    <w:abstractNumId w:val="16"/>
  </w:num>
  <w:num w:numId="32" w16cid:durableId="1114443243">
    <w:abstractNumId w:val="12"/>
  </w:num>
  <w:num w:numId="33" w16cid:durableId="1995066659">
    <w:abstractNumId w:val="31"/>
  </w:num>
  <w:num w:numId="34" w16cid:durableId="1357268110">
    <w:abstractNumId w:val="17"/>
  </w:num>
  <w:num w:numId="35" w16cid:durableId="1914922839">
    <w:abstractNumId w:val="20"/>
  </w:num>
  <w:num w:numId="36" w16cid:durableId="725379092">
    <w:abstractNumId w:val="5"/>
  </w:num>
  <w:num w:numId="37" w16cid:durableId="700521137">
    <w:abstractNumId w:val="19"/>
  </w:num>
  <w:num w:numId="38" w16cid:durableId="510527057">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D4"/>
    <w:rsid w:val="000008EC"/>
    <w:rsid w:val="00004E80"/>
    <w:rsid w:val="00005958"/>
    <w:rsid w:val="00006476"/>
    <w:rsid w:val="000074E5"/>
    <w:rsid w:val="00007E37"/>
    <w:rsid w:val="000100B4"/>
    <w:rsid w:val="00010F75"/>
    <w:rsid w:val="0001252B"/>
    <w:rsid w:val="0001269E"/>
    <w:rsid w:val="00014210"/>
    <w:rsid w:val="0001490F"/>
    <w:rsid w:val="000160BE"/>
    <w:rsid w:val="00016A59"/>
    <w:rsid w:val="00016D14"/>
    <w:rsid w:val="00017C4F"/>
    <w:rsid w:val="0002105C"/>
    <w:rsid w:val="00021632"/>
    <w:rsid w:val="00021CC6"/>
    <w:rsid w:val="0002256B"/>
    <w:rsid w:val="000225F6"/>
    <w:rsid w:val="00022E15"/>
    <w:rsid w:val="000238E9"/>
    <w:rsid w:val="00024012"/>
    <w:rsid w:val="000241C8"/>
    <w:rsid w:val="00024DC1"/>
    <w:rsid w:val="00032403"/>
    <w:rsid w:val="00032A95"/>
    <w:rsid w:val="0003496C"/>
    <w:rsid w:val="00037F94"/>
    <w:rsid w:val="000434F4"/>
    <w:rsid w:val="00046BFE"/>
    <w:rsid w:val="00047303"/>
    <w:rsid w:val="00052175"/>
    <w:rsid w:val="0005218B"/>
    <w:rsid w:val="00052A57"/>
    <w:rsid w:val="00053CAA"/>
    <w:rsid w:val="00054FDB"/>
    <w:rsid w:val="000647DF"/>
    <w:rsid w:val="00066FCC"/>
    <w:rsid w:val="0006712C"/>
    <w:rsid w:val="00067B4E"/>
    <w:rsid w:val="00072F11"/>
    <w:rsid w:val="00074791"/>
    <w:rsid w:val="000807E1"/>
    <w:rsid w:val="00080CAE"/>
    <w:rsid w:val="00081251"/>
    <w:rsid w:val="00081D25"/>
    <w:rsid w:val="00082995"/>
    <w:rsid w:val="000831C1"/>
    <w:rsid w:val="000840A3"/>
    <w:rsid w:val="00084AC9"/>
    <w:rsid w:val="00087A51"/>
    <w:rsid w:val="00090430"/>
    <w:rsid w:val="000904A9"/>
    <w:rsid w:val="0009158A"/>
    <w:rsid w:val="000929AC"/>
    <w:rsid w:val="00092DC7"/>
    <w:rsid w:val="00095719"/>
    <w:rsid w:val="000965C1"/>
    <w:rsid w:val="00096970"/>
    <w:rsid w:val="000A22E1"/>
    <w:rsid w:val="000A5029"/>
    <w:rsid w:val="000A5628"/>
    <w:rsid w:val="000A5919"/>
    <w:rsid w:val="000A5FDB"/>
    <w:rsid w:val="000A6DE3"/>
    <w:rsid w:val="000B0FB9"/>
    <w:rsid w:val="000B1042"/>
    <w:rsid w:val="000B148E"/>
    <w:rsid w:val="000B23C7"/>
    <w:rsid w:val="000B26C5"/>
    <w:rsid w:val="000B3FC5"/>
    <w:rsid w:val="000C2F53"/>
    <w:rsid w:val="000C40DA"/>
    <w:rsid w:val="000C4A74"/>
    <w:rsid w:val="000D6E76"/>
    <w:rsid w:val="000E0887"/>
    <w:rsid w:val="000E0932"/>
    <w:rsid w:val="000E0A76"/>
    <w:rsid w:val="000E0C02"/>
    <w:rsid w:val="000E4E32"/>
    <w:rsid w:val="000E5644"/>
    <w:rsid w:val="000E7C26"/>
    <w:rsid w:val="000F2C0C"/>
    <w:rsid w:val="000F4181"/>
    <w:rsid w:val="000F5E1C"/>
    <w:rsid w:val="000F7D32"/>
    <w:rsid w:val="001022E3"/>
    <w:rsid w:val="001028CF"/>
    <w:rsid w:val="00104A72"/>
    <w:rsid w:val="00106280"/>
    <w:rsid w:val="001063BC"/>
    <w:rsid w:val="00113F32"/>
    <w:rsid w:val="0011538C"/>
    <w:rsid w:val="00115683"/>
    <w:rsid w:val="00115F7E"/>
    <w:rsid w:val="00121C6B"/>
    <w:rsid w:val="001235EB"/>
    <w:rsid w:val="001248C7"/>
    <w:rsid w:val="001258EF"/>
    <w:rsid w:val="00126A85"/>
    <w:rsid w:val="00133110"/>
    <w:rsid w:val="001343CD"/>
    <w:rsid w:val="00134407"/>
    <w:rsid w:val="0013671B"/>
    <w:rsid w:val="0013672C"/>
    <w:rsid w:val="001376D5"/>
    <w:rsid w:val="00141E8A"/>
    <w:rsid w:val="00142748"/>
    <w:rsid w:val="00142A94"/>
    <w:rsid w:val="001457C5"/>
    <w:rsid w:val="00146249"/>
    <w:rsid w:val="001472DB"/>
    <w:rsid w:val="0014759A"/>
    <w:rsid w:val="00147960"/>
    <w:rsid w:val="00151077"/>
    <w:rsid w:val="001530E2"/>
    <w:rsid w:val="0015515E"/>
    <w:rsid w:val="00155C71"/>
    <w:rsid w:val="0015608C"/>
    <w:rsid w:val="00157AAF"/>
    <w:rsid w:val="00160495"/>
    <w:rsid w:val="0016254B"/>
    <w:rsid w:val="00162659"/>
    <w:rsid w:val="00163B87"/>
    <w:rsid w:val="00167BA3"/>
    <w:rsid w:val="00170F56"/>
    <w:rsid w:val="00172F28"/>
    <w:rsid w:val="00174692"/>
    <w:rsid w:val="00175FE5"/>
    <w:rsid w:val="00176209"/>
    <w:rsid w:val="00177D74"/>
    <w:rsid w:val="00180460"/>
    <w:rsid w:val="001822AB"/>
    <w:rsid w:val="001836C7"/>
    <w:rsid w:val="00185774"/>
    <w:rsid w:val="0018756A"/>
    <w:rsid w:val="001915CA"/>
    <w:rsid w:val="00192F30"/>
    <w:rsid w:val="00195C3D"/>
    <w:rsid w:val="00197F3F"/>
    <w:rsid w:val="001A68C2"/>
    <w:rsid w:val="001B233C"/>
    <w:rsid w:val="001B76FE"/>
    <w:rsid w:val="001C0869"/>
    <w:rsid w:val="001C1EDA"/>
    <w:rsid w:val="001C261C"/>
    <w:rsid w:val="001C38E8"/>
    <w:rsid w:val="001C403F"/>
    <w:rsid w:val="001C5A60"/>
    <w:rsid w:val="001C6BAE"/>
    <w:rsid w:val="001C71AB"/>
    <w:rsid w:val="001C7B44"/>
    <w:rsid w:val="001D1E59"/>
    <w:rsid w:val="001D25E7"/>
    <w:rsid w:val="001D5AD7"/>
    <w:rsid w:val="001D5B0D"/>
    <w:rsid w:val="001D5F18"/>
    <w:rsid w:val="001D7C80"/>
    <w:rsid w:val="001E01EF"/>
    <w:rsid w:val="001E13E9"/>
    <w:rsid w:val="001E20A2"/>
    <w:rsid w:val="001E6A3C"/>
    <w:rsid w:val="001F1FDB"/>
    <w:rsid w:val="001F2F5B"/>
    <w:rsid w:val="001F3A04"/>
    <w:rsid w:val="001F5829"/>
    <w:rsid w:val="001F6A78"/>
    <w:rsid w:val="001F78EA"/>
    <w:rsid w:val="00200B4D"/>
    <w:rsid w:val="0020106D"/>
    <w:rsid w:val="002012AD"/>
    <w:rsid w:val="00201E77"/>
    <w:rsid w:val="002020A6"/>
    <w:rsid w:val="002027B9"/>
    <w:rsid w:val="00202FA7"/>
    <w:rsid w:val="00203812"/>
    <w:rsid w:val="002041B1"/>
    <w:rsid w:val="00204CAF"/>
    <w:rsid w:val="00207EFA"/>
    <w:rsid w:val="002100C0"/>
    <w:rsid w:val="00214EF1"/>
    <w:rsid w:val="002150BD"/>
    <w:rsid w:val="00221548"/>
    <w:rsid w:val="00223469"/>
    <w:rsid w:val="00224525"/>
    <w:rsid w:val="002300AA"/>
    <w:rsid w:val="00230D14"/>
    <w:rsid w:val="0023123C"/>
    <w:rsid w:val="00232EED"/>
    <w:rsid w:val="00235B55"/>
    <w:rsid w:val="00236557"/>
    <w:rsid w:val="00240515"/>
    <w:rsid w:val="00245574"/>
    <w:rsid w:val="00247140"/>
    <w:rsid w:val="00247DFC"/>
    <w:rsid w:val="00250D70"/>
    <w:rsid w:val="002525F5"/>
    <w:rsid w:val="002557B7"/>
    <w:rsid w:val="00255E97"/>
    <w:rsid w:val="0026103D"/>
    <w:rsid w:val="002641DD"/>
    <w:rsid w:val="002673F8"/>
    <w:rsid w:val="00271D30"/>
    <w:rsid w:val="0027210D"/>
    <w:rsid w:val="00272234"/>
    <w:rsid w:val="00274A3E"/>
    <w:rsid w:val="00277825"/>
    <w:rsid w:val="00277BEB"/>
    <w:rsid w:val="00280E85"/>
    <w:rsid w:val="00281589"/>
    <w:rsid w:val="00281D40"/>
    <w:rsid w:val="00283AC9"/>
    <w:rsid w:val="00283BA3"/>
    <w:rsid w:val="0028441B"/>
    <w:rsid w:val="002878F7"/>
    <w:rsid w:val="00291F53"/>
    <w:rsid w:val="002922A4"/>
    <w:rsid w:val="0029631A"/>
    <w:rsid w:val="002A2863"/>
    <w:rsid w:val="002A4811"/>
    <w:rsid w:val="002A4867"/>
    <w:rsid w:val="002A6470"/>
    <w:rsid w:val="002A6915"/>
    <w:rsid w:val="002A6D33"/>
    <w:rsid w:val="002A7E23"/>
    <w:rsid w:val="002B0397"/>
    <w:rsid w:val="002B039A"/>
    <w:rsid w:val="002B16B4"/>
    <w:rsid w:val="002B35A4"/>
    <w:rsid w:val="002B389F"/>
    <w:rsid w:val="002B7DB2"/>
    <w:rsid w:val="002C0A6F"/>
    <w:rsid w:val="002C0CC0"/>
    <w:rsid w:val="002C3355"/>
    <w:rsid w:val="002C3A3D"/>
    <w:rsid w:val="002C6265"/>
    <w:rsid w:val="002C6464"/>
    <w:rsid w:val="002C7BFD"/>
    <w:rsid w:val="002D27CE"/>
    <w:rsid w:val="002D2AD8"/>
    <w:rsid w:val="002D5628"/>
    <w:rsid w:val="002D5B0B"/>
    <w:rsid w:val="002E14DE"/>
    <w:rsid w:val="002E313C"/>
    <w:rsid w:val="002F24EF"/>
    <w:rsid w:val="002F2767"/>
    <w:rsid w:val="002F351B"/>
    <w:rsid w:val="002F4E2E"/>
    <w:rsid w:val="002F7351"/>
    <w:rsid w:val="003057F4"/>
    <w:rsid w:val="00306404"/>
    <w:rsid w:val="0031360C"/>
    <w:rsid w:val="00313901"/>
    <w:rsid w:val="00316248"/>
    <w:rsid w:val="00320829"/>
    <w:rsid w:val="00321A30"/>
    <w:rsid w:val="00322D12"/>
    <w:rsid w:val="003251D9"/>
    <w:rsid w:val="00325DEC"/>
    <w:rsid w:val="0032609D"/>
    <w:rsid w:val="003265B3"/>
    <w:rsid w:val="0033196B"/>
    <w:rsid w:val="00336DE0"/>
    <w:rsid w:val="003374EE"/>
    <w:rsid w:val="003379F3"/>
    <w:rsid w:val="00341189"/>
    <w:rsid w:val="00341B4C"/>
    <w:rsid w:val="00342944"/>
    <w:rsid w:val="003433F0"/>
    <w:rsid w:val="003444D4"/>
    <w:rsid w:val="003454C3"/>
    <w:rsid w:val="0034682A"/>
    <w:rsid w:val="00346906"/>
    <w:rsid w:val="0035153B"/>
    <w:rsid w:val="00352B3F"/>
    <w:rsid w:val="003576B4"/>
    <w:rsid w:val="00361B3E"/>
    <w:rsid w:val="00362C05"/>
    <w:rsid w:val="0036541F"/>
    <w:rsid w:val="0036587D"/>
    <w:rsid w:val="00365F9B"/>
    <w:rsid w:val="003661A1"/>
    <w:rsid w:val="00373B6A"/>
    <w:rsid w:val="00377B54"/>
    <w:rsid w:val="003800CD"/>
    <w:rsid w:val="00380148"/>
    <w:rsid w:val="0038049E"/>
    <w:rsid w:val="003807B6"/>
    <w:rsid w:val="00381B04"/>
    <w:rsid w:val="0038241A"/>
    <w:rsid w:val="0038315D"/>
    <w:rsid w:val="00385464"/>
    <w:rsid w:val="003876B9"/>
    <w:rsid w:val="0039161F"/>
    <w:rsid w:val="00391958"/>
    <w:rsid w:val="003925B3"/>
    <w:rsid w:val="00392715"/>
    <w:rsid w:val="00392F2D"/>
    <w:rsid w:val="003946E0"/>
    <w:rsid w:val="00396C24"/>
    <w:rsid w:val="00397982"/>
    <w:rsid w:val="003A1967"/>
    <w:rsid w:val="003A4ECC"/>
    <w:rsid w:val="003A6E02"/>
    <w:rsid w:val="003B7101"/>
    <w:rsid w:val="003C0C83"/>
    <w:rsid w:val="003C0CD0"/>
    <w:rsid w:val="003C1219"/>
    <w:rsid w:val="003C1ACF"/>
    <w:rsid w:val="003C1CFB"/>
    <w:rsid w:val="003C1FC4"/>
    <w:rsid w:val="003C6BD0"/>
    <w:rsid w:val="003C6F4B"/>
    <w:rsid w:val="003C7E4F"/>
    <w:rsid w:val="003C7F9C"/>
    <w:rsid w:val="003D0478"/>
    <w:rsid w:val="003D53E2"/>
    <w:rsid w:val="003D70FC"/>
    <w:rsid w:val="003E150B"/>
    <w:rsid w:val="003E223A"/>
    <w:rsid w:val="003E6936"/>
    <w:rsid w:val="003E7FD3"/>
    <w:rsid w:val="003F2C8B"/>
    <w:rsid w:val="003F52EE"/>
    <w:rsid w:val="003F602B"/>
    <w:rsid w:val="004026C0"/>
    <w:rsid w:val="004027F0"/>
    <w:rsid w:val="00403191"/>
    <w:rsid w:val="0040411A"/>
    <w:rsid w:val="00405783"/>
    <w:rsid w:val="00406A9F"/>
    <w:rsid w:val="0040760E"/>
    <w:rsid w:val="00410B31"/>
    <w:rsid w:val="004118E7"/>
    <w:rsid w:val="004203C3"/>
    <w:rsid w:val="00421FBB"/>
    <w:rsid w:val="00421FC3"/>
    <w:rsid w:val="00423489"/>
    <w:rsid w:val="00423EC3"/>
    <w:rsid w:val="0042455F"/>
    <w:rsid w:val="004274D2"/>
    <w:rsid w:val="004302A4"/>
    <w:rsid w:val="00433738"/>
    <w:rsid w:val="0043614F"/>
    <w:rsid w:val="00436B61"/>
    <w:rsid w:val="00442831"/>
    <w:rsid w:val="00445977"/>
    <w:rsid w:val="0045244C"/>
    <w:rsid w:val="004541A4"/>
    <w:rsid w:val="0045452D"/>
    <w:rsid w:val="00462CBE"/>
    <w:rsid w:val="00464075"/>
    <w:rsid w:val="004651BB"/>
    <w:rsid w:val="00465752"/>
    <w:rsid w:val="0047108B"/>
    <w:rsid w:val="00471D4A"/>
    <w:rsid w:val="004732DC"/>
    <w:rsid w:val="00476338"/>
    <w:rsid w:val="004828C1"/>
    <w:rsid w:val="0048529A"/>
    <w:rsid w:val="004861FE"/>
    <w:rsid w:val="00492269"/>
    <w:rsid w:val="00492C2B"/>
    <w:rsid w:val="0049349F"/>
    <w:rsid w:val="00495C51"/>
    <w:rsid w:val="004A114E"/>
    <w:rsid w:val="004A38B8"/>
    <w:rsid w:val="004A5236"/>
    <w:rsid w:val="004A6DAD"/>
    <w:rsid w:val="004B39D4"/>
    <w:rsid w:val="004B68C1"/>
    <w:rsid w:val="004B6C2F"/>
    <w:rsid w:val="004C46D2"/>
    <w:rsid w:val="004C5756"/>
    <w:rsid w:val="004C72F8"/>
    <w:rsid w:val="004D06B2"/>
    <w:rsid w:val="004D1714"/>
    <w:rsid w:val="004D2AF2"/>
    <w:rsid w:val="004D4A35"/>
    <w:rsid w:val="004D4FBF"/>
    <w:rsid w:val="004D5948"/>
    <w:rsid w:val="004D6751"/>
    <w:rsid w:val="004E17B4"/>
    <w:rsid w:val="004E2481"/>
    <w:rsid w:val="004E2EE2"/>
    <w:rsid w:val="004E3156"/>
    <w:rsid w:val="004E3EDA"/>
    <w:rsid w:val="004E488B"/>
    <w:rsid w:val="004E63F4"/>
    <w:rsid w:val="004E6544"/>
    <w:rsid w:val="004E7ED2"/>
    <w:rsid w:val="004F0C01"/>
    <w:rsid w:val="004F0E21"/>
    <w:rsid w:val="004F12DD"/>
    <w:rsid w:val="004F2557"/>
    <w:rsid w:val="004F3DCF"/>
    <w:rsid w:val="004F4B44"/>
    <w:rsid w:val="004F5580"/>
    <w:rsid w:val="004F6420"/>
    <w:rsid w:val="004F698B"/>
    <w:rsid w:val="00500AE2"/>
    <w:rsid w:val="00512627"/>
    <w:rsid w:val="005127FC"/>
    <w:rsid w:val="00513816"/>
    <w:rsid w:val="0051480C"/>
    <w:rsid w:val="00515CC5"/>
    <w:rsid w:val="005171DD"/>
    <w:rsid w:val="00517626"/>
    <w:rsid w:val="00517DE0"/>
    <w:rsid w:val="00522FD8"/>
    <w:rsid w:val="0052374D"/>
    <w:rsid w:val="00523FCC"/>
    <w:rsid w:val="00524917"/>
    <w:rsid w:val="00524E75"/>
    <w:rsid w:val="00530DC6"/>
    <w:rsid w:val="00531883"/>
    <w:rsid w:val="005321C1"/>
    <w:rsid w:val="00534A39"/>
    <w:rsid w:val="00534B37"/>
    <w:rsid w:val="00535B9B"/>
    <w:rsid w:val="00536E26"/>
    <w:rsid w:val="005421E7"/>
    <w:rsid w:val="00542A9C"/>
    <w:rsid w:val="005441AF"/>
    <w:rsid w:val="00545C46"/>
    <w:rsid w:val="00546BC3"/>
    <w:rsid w:val="005515B0"/>
    <w:rsid w:val="0055668E"/>
    <w:rsid w:val="00560A19"/>
    <w:rsid w:val="00562475"/>
    <w:rsid w:val="00562FB5"/>
    <w:rsid w:val="005638A3"/>
    <w:rsid w:val="00572829"/>
    <w:rsid w:val="00572E00"/>
    <w:rsid w:val="005757FE"/>
    <w:rsid w:val="00576A7A"/>
    <w:rsid w:val="0057784D"/>
    <w:rsid w:val="00582260"/>
    <w:rsid w:val="00582B7F"/>
    <w:rsid w:val="005837FE"/>
    <w:rsid w:val="00584343"/>
    <w:rsid w:val="005847BD"/>
    <w:rsid w:val="0058488D"/>
    <w:rsid w:val="00590273"/>
    <w:rsid w:val="0059228A"/>
    <w:rsid w:val="0059690F"/>
    <w:rsid w:val="005A17B7"/>
    <w:rsid w:val="005A6D8F"/>
    <w:rsid w:val="005A6EC6"/>
    <w:rsid w:val="005B242E"/>
    <w:rsid w:val="005B3184"/>
    <w:rsid w:val="005B327D"/>
    <w:rsid w:val="005B3305"/>
    <w:rsid w:val="005B3C12"/>
    <w:rsid w:val="005B58B5"/>
    <w:rsid w:val="005C248F"/>
    <w:rsid w:val="005C3752"/>
    <w:rsid w:val="005C37B0"/>
    <w:rsid w:val="005D0939"/>
    <w:rsid w:val="005D2D70"/>
    <w:rsid w:val="005D6146"/>
    <w:rsid w:val="005D754C"/>
    <w:rsid w:val="005D771C"/>
    <w:rsid w:val="005E1317"/>
    <w:rsid w:val="005E4D5D"/>
    <w:rsid w:val="005E51A9"/>
    <w:rsid w:val="005E6EEA"/>
    <w:rsid w:val="005E6F83"/>
    <w:rsid w:val="005F0F91"/>
    <w:rsid w:val="005F1DE6"/>
    <w:rsid w:val="005F37EB"/>
    <w:rsid w:val="005F39FC"/>
    <w:rsid w:val="005F681B"/>
    <w:rsid w:val="0060529D"/>
    <w:rsid w:val="006058D2"/>
    <w:rsid w:val="006073F8"/>
    <w:rsid w:val="006116D9"/>
    <w:rsid w:val="00611ABC"/>
    <w:rsid w:val="006161B8"/>
    <w:rsid w:val="00616B74"/>
    <w:rsid w:val="00627AA9"/>
    <w:rsid w:val="006307CA"/>
    <w:rsid w:val="006325FF"/>
    <w:rsid w:val="00632ABD"/>
    <w:rsid w:val="00633F21"/>
    <w:rsid w:val="00634115"/>
    <w:rsid w:val="00635488"/>
    <w:rsid w:val="00635A94"/>
    <w:rsid w:val="0063674F"/>
    <w:rsid w:val="00645CFB"/>
    <w:rsid w:val="006500F9"/>
    <w:rsid w:val="0065079B"/>
    <w:rsid w:val="006519FD"/>
    <w:rsid w:val="00654E63"/>
    <w:rsid w:val="006566DB"/>
    <w:rsid w:val="0066065A"/>
    <w:rsid w:val="0066111D"/>
    <w:rsid w:val="0066179E"/>
    <w:rsid w:val="006638D4"/>
    <w:rsid w:val="00663F39"/>
    <w:rsid w:val="006707DC"/>
    <w:rsid w:val="00670F70"/>
    <w:rsid w:val="006711AC"/>
    <w:rsid w:val="0067122F"/>
    <w:rsid w:val="00676F69"/>
    <w:rsid w:val="00677C33"/>
    <w:rsid w:val="00677ECE"/>
    <w:rsid w:val="00683C2F"/>
    <w:rsid w:val="006852F0"/>
    <w:rsid w:val="00686682"/>
    <w:rsid w:val="00687414"/>
    <w:rsid w:val="00690046"/>
    <w:rsid w:val="006902CD"/>
    <w:rsid w:val="006913B1"/>
    <w:rsid w:val="00691D68"/>
    <w:rsid w:val="00693897"/>
    <w:rsid w:val="00694BF1"/>
    <w:rsid w:val="00697108"/>
    <w:rsid w:val="00697ABD"/>
    <w:rsid w:val="006A1DFA"/>
    <w:rsid w:val="006A1E8D"/>
    <w:rsid w:val="006A46C5"/>
    <w:rsid w:val="006A6ED9"/>
    <w:rsid w:val="006B0738"/>
    <w:rsid w:val="006B0851"/>
    <w:rsid w:val="006B7BE6"/>
    <w:rsid w:val="006C0D17"/>
    <w:rsid w:val="006C15A0"/>
    <w:rsid w:val="006C2770"/>
    <w:rsid w:val="006C50B5"/>
    <w:rsid w:val="006C67E4"/>
    <w:rsid w:val="006C6FAF"/>
    <w:rsid w:val="006D78ED"/>
    <w:rsid w:val="006D7FC6"/>
    <w:rsid w:val="006E1119"/>
    <w:rsid w:val="006E12FE"/>
    <w:rsid w:val="006E2BF0"/>
    <w:rsid w:val="006E43E5"/>
    <w:rsid w:val="006E5E62"/>
    <w:rsid w:val="006E7CA4"/>
    <w:rsid w:val="006F04AF"/>
    <w:rsid w:val="006F115D"/>
    <w:rsid w:val="006F1184"/>
    <w:rsid w:val="006F36E1"/>
    <w:rsid w:val="006F38A6"/>
    <w:rsid w:val="006F3FE3"/>
    <w:rsid w:val="006F401A"/>
    <w:rsid w:val="006F4280"/>
    <w:rsid w:val="0070039B"/>
    <w:rsid w:val="00700C52"/>
    <w:rsid w:val="007013AA"/>
    <w:rsid w:val="00707216"/>
    <w:rsid w:val="00710BC8"/>
    <w:rsid w:val="007116BF"/>
    <w:rsid w:val="007142E3"/>
    <w:rsid w:val="007171D9"/>
    <w:rsid w:val="00717F54"/>
    <w:rsid w:val="00722F43"/>
    <w:rsid w:val="007246A9"/>
    <w:rsid w:val="00724C3A"/>
    <w:rsid w:val="007258E7"/>
    <w:rsid w:val="007264C0"/>
    <w:rsid w:val="007278E1"/>
    <w:rsid w:val="00730172"/>
    <w:rsid w:val="00730AD0"/>
    <w:rsid w:val="00731137"/>
    <w:rsid w:val="00734407"/>
    <w:rsid w:val="007345D5"/>
    <w:rsid w:val="00734EAD"/>
    <w:rsid w:val="00741968"/>
    <w:rsid w:val="00741BBB"/>
    <w:rsid w:val="00742BAC"/>
    <w:rsid w:val="0074320D"/>
    <w:rsid w:val="00744040"/>
    <w:rsid w:val="0074460A"/>
    <w:rsid w:val="00745AD5"/>
    <w:rsid w:val="00746D43"/>
    <w:rsid w:val="00750C52"/>
    <w:rsid w:val="00753050"/>
    <w:rsid w:val="00754FBC"/>
    <w:rsid w:val="00756E4A"/>
    <w:rsid w:val="007572E5"/>
    <w:rsid w:val="00757770"/>
    <w:rsid w:val="00760BEA"/>
    <w:rsid w:val="00760C11"/>
    <w:rsid w:val="00763834"/>
    <w:rsid w:val="007658EB"/>
    <w:rsid w:val="00765F90"/>
    <w:rsid w:val="00766CF7"/>
    <w:rsid w:val="00770792"/>
    <w:rsid w:val="007708D7"/>
    <w:rsid w:val="00771128"/>
    <w:rsid w:val="007722F5"/>
    <w:rsid w:val="0077266F"/>
    <w:rsid w:val="00773486"/>
    <w:rsid w:val="0077367E"/>
    <w:rsid w:val="007748E3"/>
    <w:rsid w:val="007800F1"/>
    <w:rsid w:val="00782094"/>
    <w:rsid w:val="00782939"/>
    <w:rsid w:val="00783A45"/>
    <w:rsid w:val="007854A0"/>
    <w:rsid w:val="00786ADA"/>
    <w:rsid w:val="00790610"/>
    <w:rsid w:val="007922E4"/>
    <w:rsid w:val="00792C60"/>
    <w:rsid w:val="00793763"/>
    <w:rsid w:val="007940C4"/>
    <w:rsid w:val="007964D0"/>
    <w:rsid w:val="007A1B5C"/>
    <w:rsid w:val="007A3790"/>
    <w:rsid w:val="007A3B51"/>
    <w:rsid w:val="007A3E84"/>
    <w:rsid w:val="007A559F"/>
    <w:rsid w:val="007B0892"/>
    <w:rsid w:val="007B14E6"/>
    <w:rsid w:val="007B4B4C"/>
    <w:rsid w:val="007B76E9"/>
    <w:rsid w:val="007C1F83"/>
    <w:rsid w:val="007C5808"/>
    <w:rsid w:val="007D3215"/>
    <w:rsid w:val="007D64B2"/>
    <w:rsid w:val="007D7D72"/>
    <w:rsid w:val="007E3D0B"/>
    <w:rsid w:val="007E4774"/>
    <w:rsid w:val="007E4A6B"/>
    <w:rsid w:val="007E53EC"/>
    <w:rsid w:val="007E59EF"/>
    <w:rsid w:val="007F1DDA"/>
    <w:rsid w:val="007F4068"/>
    <w:rsid w:val="007F5635"/>
    <w:rsid w:val="007F7FF6"/>
    <w:rsid w:val="00801442"/>
    <w:rsid w:val="00810BCD"/>
    <w:rsid w:val="008111E8"/>
    <w:rsid w:val="00811920"/>
    <w:rsid w:val="00811A52"/>
    <w:rsid w:val="00816846"/>
    <w:rsid w:val="00821362"/>
    <w:rsid w:val="00821A9D"/>
    <w:rsid w:val="00821FE2"/>
    <w:rsid w:val="00822AFF"/>
    <w:rsid w:val="00826D53"/>
    <w:rsid w:val="0082735A"/>
    <w:rsid w:val="0083166E"/>
    <w:rsid w:val="00832071"/>
    <w:rsid w:val="00832E42"/>
    <w:rsid w:val="00833A15"/>
    <w:rsid w:val="0083497F"/>
    <w:rsid w:val="00835C44"/>
    <w:rsid w:val="0083738B"/>
    <w:rsid w:val="00837806"/>
    <w:rsid w:val="008402D6"/>
    <w:rsid w:val="0084126F"/>
    <w:rsid w:val="00841620"/>
    <w:rsid w:val="00844098"/>
    <w:rsid w:val="00847502"/>
    <w:rsid w:val="00847847"/>
    <w:rsid w:val="0084796E"/>
    <w:rsid w:val="00850547"/>
    <w:rsid w:val="008532F2"/>
    <w:rsid w:val="008532F8"/>
    <w:rsid w:val="00853830"/>
    <w:rsid w:val="00855816"/>
    <w:rsid w:val="00856377"/>
    <w:rsid w:val="0085686B"/>
    <w:rsid w:val="00856F88"/>
    <w:rsid w:val="008575C8"/>
    <w:rsid w:val="008600CA"/>
    <w:rsid w:val="00860563"/>
    <w:rsid w:val="00860DFF"/>
    <w:rsid w:val="008625F8"/>
    <w:rsid w:val="008655FF"/>
    <w:rsid w:val="0086682F"/>
    <w:rsid w:val="00867148"/>
    <w:rsid w:val="008672F0"/>
    <w:rsid w:val="00871FD8"/>
    <w:rsid w:val="00872640"/>
    <w:rsid w:val="0087400A"/>
    <w:rsid w:val="00875FB1"/>
    <w:rsid w:val="00876507"/>
    <w:rsid w:val="008814F2"/>
    <w:rsid w:val="00884410"/>
    <w:rsid w:val="0088547F"/>
    <w:rsid w:val="00885A39"/>
    <w:rsid w:val="00885DA4"/>
    <w:rsid w:val="0089079B"/>
    <w:rsid w:val="00890C26"/>
    <w:rsid w:val="00890EBA"/>
    <w:rsid w:val="0089470C"/>
    <w:rsid w:val="0089492B"/>
    <w:rsid w:val="00896F5B"/>
    <w:rsid w:val="00897822"/>
    <w:rsid w:val="008A0938"/>
    <w:rsid w:val="008A0B2D"/>
    <w:rsid w:val="008A23BA"/>
    <w:rsid w:val="008A3F2E"/>
    <w:rsid w:val="008A63D3"/>
    <w:rsid w:val="008B38E8"/>
    <w:rsid w:val="008B4B34"/>
    <w:rsid w:val="008B4D44"/>
    <w:rsid w:val="008B52DE"/>
    <w:rsid w:val="008B69D1"/>
    <w:rsid w:val="008C28B4"/>
    <w:rsid w:val="008C32D2"/>
    <w:rsid w:val="008C48DB"/>
    <w:rsid w:val="008C7519"/>
    <w:rsid w:val="008C7737"/>
    <w:rsid w:val="008D07DE"/>
    <w:rsid w:val="008D2B9C"/>
    <w:rsid w:val="008D36F5"/>
    <w:rsid w:val="008D54CF"/>
    <w:rsid w:val="008D6067"/>
    <w:rsid w:val="008D76B6"/>
    <w:rsid w:val="008E1C27"/>
    <w:rsid w:val="008E1D3F"/>
    <w:rsid w:val="008E1EAA"/>
    <w:rsid w:val="008E332C"/>
    <w:rsid w:val="008E47E1"/>
    <w:rsid w:val="008F350C"/>
    <w:rsid w:val="008F5150"/>
    <w:rsid w:val="008F5C31"/>
    <w:rsid w:val="009054C4"/>
    <w:rsid w:val="00905950"/>
    <w:rsid w:val="00906C94"/>
    <w:rsid w:val="009072F6"/>
    <w:rsid w:val="0091262F"/>
    <w:rsid w:val="00920140"/>
    <w:rsid w:val="00922261"/>
    <w:rsid w:val="009242A6"/>
    <w:rsid w:val="00925B26"/>
    <w:rsid w:val="00926CD8"/>
    <w:rsid w:val="0092786A"/>
    <w:rsid w:val="00932318"/>
    <w:rsid w:val="009328F7"/>
    <w:rsid w:val="00932E10"/>
    <w:rsid w:val="009342DD"/>
    <w:rsid w:val="00935408"/>
    <w:rsid w:val="0093640E"/>
    <w:rsid w:val="00940F83"/>
    <w:rsid w:val="00941765"/>
    <w:rsid w:val="009445D5"/>
    <w:rsid w:val="009448AC"/>
    <w:rsid w:val="009449DA"/>
    <w:rsid w:val="009454AC"/>
    <w:rsid w:val="00945822"/>
    <w:rsid w:val="00945AB9"/>
    <w:rsid w:val="00946995"/>
    <w:rsid w:val="009472BC"/>
    <w:rsid w:val="00947788"/>
    <w:rsid w:val="00947AC0"/>
    <w:rsid w:val="00953935"/>
    <w:rsid w:val="0095394F"/>
    <w:rsid w:val="00955D4F"/>
    <w:rsid w:val="0095720A"/>
    <w:rsid w:val="0095770D"/>
    <w:rsid w:val="00961AD8"/>
    <w:rsid w:val="00962503"/>
    <w:rsid w:val="0096428A"/>
    <w:rsid w:val="009646BE"/>
    <w:rsid w:val="009648A2"/>
    <w:rsid w:val="009674CA"/>
    <w:rsid w:val="00970A6A"/>
    <w:rsid w:val="00971499"/>
    <w:rsid w:val="00981A01"/>
    <w:rsid w:val="009820E8"/>
    <w:rsid w:val="00986946"/>
    <w:rsid w:val="0098769D"/>
    <w:rsid w:val="00992BDC"/>
    <w:rsid w:val="009935AC"/>
    <w:rsid w:val="00994B23"/>
    <w:rsid w:val="00995347"/>
    <w:rsid w:val="009A5848"/>
    <w:rsid w:val="009A60D4"/>
    <w:rsid w:val="009A73B4"/>
    <w:rsid w:val="009B0230"/>
    <w:rsid w:val="009B08D9"/>
    <w:rsid w:val="009B1859"/>
    <w:rsid w:val="009B2726"/>
    <w:rsid w:val="009B2D82"/>
    <w:rsid w:val="009B33BA"/>
    <w:rsid w:val="009B43A3"/>
    <w:rsid w:val="009C093C"/>
    <w:rsid w:val="009C1ACD"/>
    <w:rsid w:val="009C52B3"/>
    <w:rsid w:val="009C5F62"/>
    <w:rsid w:val="009D03BD"/>
    <w:rsid w:val="009D0818"/>
    <w:rsid w:val="009D1575"/>
    <w:rsid w:val="009D183B"/>
    <w:rsid w:val="009D2E1B"/>
    <w:rsid w:val="009D6B4C"/>
    <w:rsid w:val="009D7BCF"/>
    <w:rsid w:val="009E027A"/>
    <w:rsid w:val="009E31FD"/>
    <w:rsid w:val="009E510B"/>
    <w:rsid w:val="009E58B7"/>
    <w:rsid w:val="009E62D9"/>
    <w:rsid w:val="009E642B"/>
    <w:rsid w:val="009E67C7"/>
    <w:rsid w:val="009E6F16"/>
    <w:rsid w:val="009F213C"/>
    <w:rsid w:val="009F45CA"/>
    <w:rsid w:val="009F5AE1"/>
    <w:rsid w:val="00A0157F"/>
    <w:rsid w:val="00A022D3"/>
    <w:rsid w:val="00A02560"/>
    <w:rsid w:val="00A04EBF"/>
    <w:rsid w:val="00A051A3"/>
    <w:rsid w:val="00A05B65"/>
    <w:rsid w:val="00A060EC"/>
    <w:rsid w:val="00A06B4C"/>
    <w:rsid w:val="00A072D5"/>
    <w:rsid w:val="00A1123F"/>
    <w:rsid w:val="00A11AB9"/>
    <w:rsid w:val="00A13C10"/>
    <w:rsid w:val="00A163CC"/>
    <w:rsid w:val="00A24C2B"/>
    <w:rsid w:val="00A2585A"/>
    <w:rsid w:val="00A278FF"/>
    <w:rsid w:val="00A30B4F"/>
    <w:rsid w:val="00A32C17"/>
    <w:rsid w:val="00A32C77"/>
    <w:rsid w:val="00A33FE4"/>
    <w:rsid w:val="00A344FA"/>
    <w:rsid w:val="00A3460A"/>
    <w:rsid w:val="00A3487A"/>
    <w:rsid w:val="00A373BA"/>
    <w:rsid w:val="00A40A3D"/>
    <w:rsid w:val="00A40BBB"/>
    <w:rsid w:val="00A468C9"/>
    <w:rsid w:val="00A46BEE"/>
    <w:rsid w:val="00A479A7"/>
    <w:rsid w:val="00A50B89"/>
    <w:rsid w:val="00A5144D"/>
    <w:rsid w:val="00A53721"/>
    <w:rsid w:val="00A541DC"/>
    <w:rsid w:val="00A549CF"/>
    <w:rsid w:val="00A56808"/>
    <w:rsid w:val="00A57DA3"/>
    <w:rsid w:val="00A60DA2"/>
    <w:rsid w:val="00A61A5A"/>
    <w:rsid w:val="00A64E7B"/>
    <w:rsid w:val="00A6547C"/>
    <w:rsid w:val="00A73E9A"/>
    <w:rsid w:val="00A75D9A"/>
    <w:rsid w:val="00A77646"/>
    <w:rsid w:val="00A817AE"/>
    <w:rsid w:val="00A81FDC"/>
    <w:rsid w:val="00A824FE"/>
    <w:rsid w:val="00A83A82"/>
    <w:rsid w:val="00A84A6F"/>
    <w:rsid w:val="00A87466"/>
    <w:rsid w:val="00A87B0E"/>
    <w:rsid w:val="00A943FA"/>
    <w:rsid w:val="00A95855"/>
    <w:rsid w:val="00A95F46"/>
    <w:rsid w:val="00A96A81"/>
    <w:rsid w:val="00AA7464"/>
    <w:rsid w:val="00AA7BF3"/>
    <w:rsid w:val="00AB0BA7"/>
    <w:rsid w:val="00AB1EDD"/>
    <w:rsid w:val="00AB2CD4"/>
    <w:rsid w:val="00AB5237"/>
    <w:rsid w:val="00AB72C7"/>
    <w:rsid w:val="00AB7E40"/>
    <w:rsid w:val="00AC2C89"/>
    <w:rsid w:val="00AC38F9"/>
    <w:rsid w:val="00AC4BA6"/>
    <w:rsid w:val="00AC6D16"/>
    <w:rsid w:val="00AD1864"/>
    <w:rsid w:val="00AD276C"/>
    <w:rsid w:val="00AD2A90"/>
    <w:rsid w:val="00AD2D51"/>
    <w:rsid w:val="00AD4384"/>
    <w:rsid w:val="00AD5B16"/>
    <w:rsid w:val="00AD625F"/>
    <w:rsid w:val="00AD7498"/>
    <w:rsid w:val="00AE1DA2"/>
    <w:rsid w:val="00AE2499"/>
    <w:rsid w:val="00AE3A81"/>
    <w:rsid w:val="00AE3F26"/>
    <w:rsid w:val="00AE4693"/>
    <w:rsid w:val="00AE56DC"/>
    <w:rsid w:val="00AE5798"/>
    <w:rsid w:val="00AE72A1"/>
    <w:rsid w:val="00AF15EE"/>
    <w:rsid w:val="00AF3A8E"/>
    <w:rsid w:val="00AF3D9F"/>
    <w:rsid w:val="00AF43CE"/>
    <w:rsid w:val="00AF6C7A"/>
    <w:rsid w:val="00B00216"/>
    <w:rsid w:val="00B03372"/>
    <w:rsid w:val="00B04D77"/>
    <w:rsid w:val="00B05DAD"/>
    <w:rsid w:val="00B104C8"/>
    <w:rsid w:val="00B107B6"/>
    <w:rsid w:val="00B10C36"/>
    <w:rsid w:val="00B1130F"/>
    <w:rsid w:val="00B14429"/>
    <w:rsid w:val="00B20AB2"/>
    <w:rsid w:val="00B21602"/>
    <w:rsid w:val="00B21BF0"/>
    <w:rsid w:val="00B2342E"/>
    <w:rsid w:val="00B23ED9"/>
    <w:rsid w:val="00B26340"/>
    <w:rsid w:val="00B278B8"/>
    <w:rsid w:val="00B27B53"/>
    <w:rsid w:val="00B309E0"/>
    <w:rsid w:val="00B328FC"/>
    <w:rsid w:val="00B32EC5"/>
    <w:rsid w:val="00B338B5"/>
    <w:rsid w:val="00B350F9"/>
    <w:rsid w:val="00B35751"/>
    <w:rsid w:val="00B40F3D"/>
    <w:rsid w:val="00B4229D"/>
    <w:rsid w:val="00B42EB7"/>
    <w:rsid w:val="00B4367C"/>
    <w:rsid w:val="00B459F6"/>
    <w:rsid w:val="00B503F2"/>
    <w:rsid w:val="00B5086D"/>
    <w:rsid w:val="00B51FB5"/>
    <w:rsid w:val="00B53414"/>
    <w:rsid w:val="00B54BE9"/>
    <w:rsid w:val="00B6102C"/>
    <w:rsid w:val="00B62258"/>
    <w:rsid w:val="00B65FF2"/>
    <w:rsid w:val="00B66C9D"/>
    <w:rsid w:val="00B71C5A"/>
    <w:rsid w:val="00B73472"/>
    <w:rsid w:val="00B74D1F"/>
    <w:rsid w:val="00B76A2F"/>
    <w:rsid w:val="00B80288"/>
    <w:rsid w:val="00B80ECD"/>
    <w:rsid w:val="00B81613"/>
    <w:rsid w:val="00B817C3"/>
    <w:rsid w:val="00B8337B"/>
    <w:rsid w:val="00B85C18"/>
    <w:rsid w:val="00B87A8E"/>
    <w:rsid w:val="00B87AF3"/>
    <w:rsid w:val="00B90897"/>
    <w:rsid w:val="00B90D5E"/>
    <w:rsid w:val="00B94966"/>
    <w:rsid w:val="00B94A1A"/>
    <w:rsid w:val="00B956F3"/>
    <w:rsid w:val="00B9580C"/>
    <w:rsid w:val="00B969EB"/>
    <w:rsid w:val="00BA0B73"/>
    <w:rsid w:val="00BA14B1"/>
    <w:rsid w:val="00BA2376"/>
    <w:rsid w:val="00BA3C82"/>
    <w:rsid w:val="00BA4A62"/>
    <w:rsid w:val="00BA6E9F"/>
    <w:rsid w:val="00BA7231"/>
    <w:rsid w:val="00BB1F83"/>
    <w:rsid w:val="00BB2664"/>
    <w:rsid w:val="00BB3E5A"/>
    <w:rsid w:val="00BB44B9"/>
    <w:rsid w:val="00BB4695"/>
    <w:rsid w:val="00BB5886"/>
    <w:rsid w:val="00BC2041"/>
    <w:rsid w:val="00BC3383"/>
    <w:rsid w:val="00BC4571"/>
    <w:rsid w:val="00BC5724"/>
    <w:rsid w:val="00BC646B"/>
    <w:rsid w:val="00BC67A2"/>
    <w:rsid w:val="00BC69C5"/>
    <w:rsid w:val="00BC7ABB"/>
    <w:rsid w:val="00BD2D6E"/>
    <w:rsid w:val="00BD326B"/>
    <w:rsid w:val="00BD3830"/>
    <w:rsid w:val="00BD439D"/>
    <w:rsid w:val="00BD551F"/>
    <w:rsid w:val="00BE4904"/>
    <w:rsid w:val="00BE63D6"/>
    <w:rsid w:val="00BE6AF2"/>
    <w:rsid w:val="00BF0DC3"/>
    <w:rsid w:val="00BF1ED7"/>
    <w:rsid w:val="00BF3289"/>
    <w:rsid w:val="00BF43F0"/>
    <w:rsid w:val="00BF52DD"/>
    <w:rsid w:val="00BF5E5B"/>
    <w:rsid w:val="00BF6043"/>
    <w:rsid w:val="00BF7368"/>
    <w:rsid w:val="00BF7E70"/>
    <w:rsid w:val="00BF7F63"/>
    <w:rsid w:val="00C00C7C"/>
    <w:rsid w:val="00C040A8"/>
    <w:rsid w:val="00C06062"/>
    <w:rsid w:val="00C073FD"/>
    <w:rsid w:val="00C13ABC"/>
    <w:rsid w:val="00C15D2D"/>
    <w:rsid w:val="00C179A1"/>
    <w:rsid w:val="00C24AE2"/>
    <w:rsid w:val="00C307C9"/>
    <w:rsid w:val="00C35DAB"/>
    <w:rsid w:val="00C36EE0"/>
    <w:rsid w:val="00C40F4E"/>
    <w:rsid w:val="00C4130E"/>
    <w:rsid w:val="00C46BCD"/>
    <w:rsid w:val="00C46DD4"/>
    <w:rsid w:val="00C4720D"/>
    <w:rsid w:val="00C53C93"/>
    <w:rsid w:val="00C571A2"/>
    <w:rsid w:val="00C62819"/>
    <w:rsid w:val="00C62C4A"/>
    <w:rsid w:val="00C63200"/>
    <w:rsid w:val="00C634C7"/>
    <w:rsid w:val="00C64D93"/>
    <w:rsid w:val="00C651E9"/>
    <w:rsid w:val="00C661C8"/>
    <w:rsid w:val="00C70B6E"/>
    <w:rsid w:val="00C72C2B"/>
    <w:rsid w:val="00C72DF1"/>
    <w:rsid w:val="00C7483F"/>
    <w:rsid w:val="00C80391"/>
    <w:rsid w:val="00C80701"/>
    <w:rsid w:val="00C82802"/>
    <w:rsid w:val="00C82E81"/>
    <w:rsid w:val="00C83170"/>
    <w:rsid w:val="00C8369F"/>
    <w:rsid w:val="00C83EC6"/>
    <w:rsid w:val="00C8521E"/>
    <w:rsid w:val="00C85BA1"/>
    <w:rsid w:val="00C85FB7"/>
    <w:rsid w:val="00C87567"/>
    <w:rsid w:val="00C94857"/>
    <w:rsid w:val="00C95BB4"/>
    <w:rsid w:val="00C962A4"/>
    <w:rsid w:val="00CA0074"/>
    <w:rsid w:val="00CA31FA"/>
    <w:rsid w:val="00CA3785"/>
    <w:rsid w:val="00CA3E30"/>
    <w:rsid w:val="00CA6440"/>
    <w:rsid w:val="00CA7D91"/>
    <w:rsid w:val="00CB05B7"/>
    <w:rsid w:val="00CB0E50"/>
    <w:rsid w:val="00CB1056"/>
    <w:rsid w:val="00CB105B"/>
    <w:rsid w:val="00CB148C"/>
    <w:rsid w:val="00CB29AC"/>
    <w:rsid w:val="00CB34E0"/>
    <w:rsid w:val="00CB4094"/>
    <w:rsid w:val="00CB4115"/>
    <w:rsid w:val="00CC12AC"/>
    <w:rsid w:val="00CC1B28"/>
    <w:rsid w:val="00CC2410"/>
    <w:rsid w:val="00CC7F04"/>
    <w:rsid w:val="00CD3B3F"/>
    <w:rsid w:val="00CD526F"/>
    <w:rsid w:val="00CD5A37"/>
    <w:rsid w:val="00CD5B84"/>
    <w:rsid w:val="00CD669D"/>
    <w:rsid w:val="00CD6A76"/>
    <w:rsid w:val="00CE10F4"/>
    <w:rsid w:val="00CE1404"/>
    <w:rsid w:val="00CE2C4F"/>
    <w:rsid w:val="00CE5949"/>
    <w:rsid w:val="00CE5DF4"/>
    <w:rsid w:val="00CE617F"/>
    <w:rsid w:val="00CE7530"/>
    <w:rsid w:val="00CF17DE"/>
    <w:rsid w:val="00CF2080"/>
    <w:rsid w:val="00CF317A"/>
    <w:rsid w:val="00CF58F5"/>
    <w:rsid w:val="00CF6083"/>
    <w:rsid w:val="00D00242"/>
    <w:rsid w:val="00D00B48"/>
    <w:rsid w:val="00D0113C"/>
    <w:rsid w:val="00D13A09"/>
    <w:rsid w:val="00D1414D"/>
    <w:rsid w:val="00D1663C"/>
    <w:rsid w:val="00D17555"/>
    <w:rsid w:val="00D2020D"/>
    <w:rsid w:val="00D2026B"/>
    <w:rsid w:val="00D22D1E"/>
    <w:rsid w:val="00D23793"/>
    <w:rsid w:val="00D238D4"/>
    <w:rsid w:val="00D2598D"/>
    <w:rsid w:val="00D27276"/>
    <w:rsid w:val="00D347DF"/>
    <w:rsid w:val="00D35D91"/>
    <w:rsid w:val="00D4250A"/>
    <w:rsid w:val="00D43819"/>
    <w:rsid w:val="00D43A04"/>
    <w:rsid w:val="00D440AE"/>
    <w:rsid w:val="00D4578F"/>
    <w:rsid w:val="00D45B0F"/>
    <w:rsid w:val="00D45EDA"/>
    <w:rsid w:val="00D46A3E"/>
    <w:rsid w:val="00D46C95"/>
    <w:rsid w:val="00D52968"/>
    <w:rsid w:val="00D54287"/>
    <w:rsid w:val="00D544D9"/>
    <w:rsid w:val="00D554A3"/>
    <w:rsid w:val="00D562AE"/>
    <w:rsid w:val="00D56E3F"/>
    <w:rsid w:val="00D61C7B"/>
    <w:rsid w:val="00D64955"/>
    <w:rsid w:val="00D652D6"/>
    <w:rsid w:val="00D66DBE"/>
    <w:rsid w:val="00D72956"/>
    <w:rsid w:val="00D73C04"/>
    <w:rsid w:val="00D8077E"/>
    <w:rsid w:val="00D81A06"/>
    <w:rsid w:val="00D83083"/>
    <w:rsid w:val="00D83097"/>
    <w:rsid w:val="00D8310D"/>
    <w:rsid w:val="00D86335"/>
    <w:rsid w:val="00D9213F"/>
    <w:rsid w:val="00D93845"/>
    <w:rsid w:val="00D952CC"/>
    <w:rsid w:val="00D965D4"/>
    <w:rsid w:val="00D97649"/>
    <w:rsid w:val="00D976CE"/>
    <w:rsid w:val="00D979A0"/>
    <w:rsid w:val="00DA020A"/>
    <w:rsid w:val="00DA17A3"/>
    <w:rsid w:val="00DA17E7"/>
    <w:rsid w:val="00DA2A6D"/>
    <w:rsid w:val="00DA47F2"/>
    <w:rsid w:val="00DA536E"/>
    <w:rsid w:val="00DB132C"/>
    <w:rsid w:val="00DB18A6"/>
    <w:rsid w:val="00DB4D75"/>
    <w:rsid w:val="00DB58C8"/>
    <w:rsid w:val="00DB5E3B"/>
    <w:rsid w:val="00DB7944"/>
    <w:rsid w:val="00DC0D5D"/>
    <w:rsid w:val="00DC1F02"/>
    <w:rsid w:val="00DC2258"/>
    <w:rsid w:val="00DC5BF7"/>
    <w:rsid w:val="00DD2A3A"/>
    <w:rsid w:val="00DD3EDC"/>
    <w:rsid w:val="00DE10E6"/>
    <w:rsid w:val="00DE1F95"/>
    <w:rsid w:val="00DE33B6"/>
    <w:rsid w:val="00DE5C06"/>
    <w:rsid w:val="00DE613C"/>
    <w:rsid w:val="00DF3284"/>
    <w:rsid w:val="00DF502B"/>
    <w:rsid w:val="00DF5263"/>
    <w:rsid w:val="00DF567C"/>
    <w:rsid w:val="00DF7FA3"/>
    <w:rsid w:val="00E064E6"/>
    <w:rsid w:val="00E06557"/>
    <w:rsid w:val="00E10394"/>
    <w:rsid w:val="00E10C4A"/>
    <w:rsid w:val="00E12F80"/>
    <w:rsid w:val="00E15977"/>
    <w:rsid w:val="00E15CF1"/>
    <w:rsid w:val="00E21EAA"/>
    <w:rsid w:val="00E24C80"/>
    <w:rsid w:val="00E2752D"/>
    <w:rsid w:val="00E31836"/>
    <w:rsid w:val="00E3205C"/>
    <w:rsid w:val="00E32418"/>
    <w:rsid w:val="00E332DD"/>
    <w:rsid w:val="00E335A0"/>
    <w:rsid w:val="00E33BB7"/>
    <w:rsid w:val="00E34286"/>
    <w:rsid w:val="00E35B8A"/>
    <w:rsid w:val="00E35CE1"/>
    <w:rsid w:val="00E362B9"/>
    <w:rsid w:val="00E365B8"/>
    <w:rsid w:val="00E379A0"/>
    <w:rsid w:val="00E45E71"/>
    <w:rsid w:val="00E463FF"/>
    <w:rsid w:val="00E528C5"/>
    <w:rsid w:val="00E53CC2"/>
    <w:rsid w:val="00E545B4"/>
    <w:rsid w:val="00E54FA0"/>
    <w:rsid w:val="00E55B25"/>
    <w:rsid w:val="00E568DC"/>
    <w:rsid w:val="00E576B4"/>
    <w:rsid w:val="00E57A98"/>
    <w:rsid w:val="00E613FA"/>
    <w:rsid w:val="00E639CF"/>
    <w:rsid w:val="00E6513E"/>
    <w:rsid w:val="00E676FC"/>
    <w:rsid w:val="00E71E10"/>
    <w:rsid w:val="00E72B0F"/>
    <w:rsid w:val="00E73155"/>
    <w:rsid w:val="00E75B25"/>
    <w:rsid w:val="00E76270"/>
    <w:rsid w:val="00E76DFA"/>
    <w:rsid w:val="00E80A8F"/>
    <w:rsid w:val="00E84638"/>
    <w:rsid w:val="00E86F18"/>
    <w:rsid w:val="00E86F53"/>
    <w:rsid w:val="00E873F1"/>
    <w:rsid w:val="00E9444A"/>
    <w:rsid w:val="00E94B39"/>
    <w:rsid w:val="00E95F24"/>
    <w:rsid w:val="00E9695C"/>
    <w:rsid w:val="00E973DA"/>
    <w:rsid w:val="00EA01A7"/>
    <w:rsid w:val="00EA078F"/>
    <w:rsid w:val="00EA3A2A"/>
    <w:rsid w:val="00EA6564"/>
    <w:rsid w:val="00EA6A88"/>
    <w:rsid w:val="00EA6E45"/>
    <w:rsid w:val="00EB34E3"/>
    <w:rsid w:val="00EB4431"/>
    <w:rsid w:val="00EB53E2"/>
    <w:rsid w:val="00EB69CD"/>
    <w:rsid w:val="00EC281F"/>
    <w:rsid w:val="00EC3550"/>
    <w:rsid w:val="00EC395C"/>
    <w:rsid w:val="00ED4E76"/>
    <w:rsid w:val="00ED5351"/>
    <w:rsid w:val="00ED755D"/>
    <w:rsid w:val="00ED795A"/>
    <w:rsid w:val="00EE036D"/>
    <w:rsid w:val="00EE4513"/>
    <w:rsid w:val="00EE5CEA"/>
    <w:rsid w:val="00EE7D8B"/>
    <w:rsid w:val="00EF4360"/>
    <w:rsid w:val="00EF4AE8"/>
    <w:rsid w:val="00EF6DD3"/>
    <w:rsid w:val="00F00AE0"/>
    <w:rsid w:val="00F00C0F"/>
    <w:rsid w:val="00F017D8"/>
    <w:rsid w:val="00F065EA"/>
    <w:rsid w:val="00F108EB"/>
    <w:rsid w:val="00F12C29"/>
    <w:rsid w:val="00F1366B"/>
    <w:rsid w:val="00F162CE"/>
    <w:rsid w:val="00F175DE"/>
    <w:rsid w:val="00F21C0D"/>
    <w:rsid w:val="00F24F0B"/>
    <w:rsid w:val="00F302E3"/>
    <w:rsid w:val="00F31066"/>
    <w:rsid w:val="00F31F04"/>
    <w:rsid w:val="00F32905"/>
    <w:rsid w:val="00F336E9"/>
    <w:rsid w:val="00F41AC0"/>
    <w:rsid w:val="00F42990"/>
    <w:rsid w:val="00F44581"/>
    <w:rsid w:val="00F45B74"/>
    <w:rsid w:val="00F50E3A"/>
    <w:rsid w:val="00F50FE7"/>
    <w:rsid w:val="00F53DFF"/>
    <w:rsid w:val="00F5523C"/>
    <w:rsid w:val="00F57C97"/>
    <w:rsid w:val="00F604D9"/>
    <w:rsid w:val="00F61ADE"/>
    <w:rsid w:val="00F61C93"/>
    <w:rsid w:val="00F632F3"/>
    <w:rsid w:val="00F66AB5"/>
    <w:rsid w:val="00F716FD"/>
    <w:rsid w:val="00F73953"/>
    <w:rsid w:val="00F75633"/>
    <w:rsid w:val="00F75909"/>
    <w:rsid w:val="00F80785"/>
    <w:rsid w:val="00F81E2C"/>
    <w:rsid w:val="00F823F8"/>
    <w:rsid w:val="00F84E0B"/>
    <w:rsid w:val="00F90C6C"/>
    <w:rsid w:val="00F9120E"/>
    <w:rsid w:val="00F91A93"/>
    <w:rsid w:val="00F92FAF"/>
    <w:rsid w:val="00F9332E"/>
    <w:rsid w:val="00F933F9"/>
    <w:rsid w:val="00F934E2"/>
    <w:rsid w:val="00F94A1D"/>
    <w:rsid w:val="00F95073"/>
    <w:rsid w:val="00F953D7"/>
    <w:rsid w:val="00F979A5"/>
    <w:rsid w:val="00FA1E8E"/>
    <w:rsid w:val="00FA422A"/>
    <w:rsid w:val="00FB3E4B"/>
    <w:rsid w:val="00FB4801"/>
    <w:rsid w:val="00FB5537"/>
    <w:rsid w:val="00FB5A32"/>
    <w:rsid w:val="00FB6A3F"/>
    <w:rsid w:val="00FC26D2"/>
    <w:rsid w:val="00FC643C"/>
    <w:rsid w:val="00FC64EA"/>
    <w:rsid w:val="00FD0434"/>
    <w:rsid w:val="00FD2603"/>
    <w:rsid w:val="00FD3A48"/>
    <w:rsid w:val="00FD4688"/>
    <w:rsid w:val="00FD4A54"/>
    <w:rsid w:val="00FD5D67"/>
    <w:rsid w:val="00FE3F17"/>
    <w:rsid w:val="00FE5B47"/>
    <w:rsid w:val="00FF0033"/>
    <w:rsid w:val="00FF0E89"/>
    <w:rsid w:val="00FF44D9"/>
    <w:rsid w:val="00FF45BB"/>
    <w:rsid w:val="00FF63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3956"/>
  <w15:chartTrackingRefBased/>
  <w15:docId w15:val="{49699BDD-9172-479C-ABEE-1527ACEC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A9"/>
    <w:pPr>
      <w:spacing w:before="120" w:after="240" w:line="240" w:lineRule="auto"/>
      <w:jc w:val="both"/>
    </w:pPr>
    <w:rPr>
      <w:rFonts w:ascii="Gentona Light" w:hAnsi="Gentona Light"/>
      <w:color w:val="0D0E0E"/>
    </w:rPr>
  </w:style>
  <w:style w:type="paragraph" w:styleId="Ttulo1">
    <w:name w:val="heading 1"/>
    <w:basedOn w:val="Normal"/>
    <w:next w:val="Normal"/>
    <w:link w:val="Ttulo1Char"/>
    <w:uiPriority w:val="9"/>
    <w:qFormat/>
    <w:rsid w:val="003251D9"/>
    <w:pPr>
      <w:keepNext/>
      <w:keepLines/>
      <w:numPr>
        <w:numId w:val="1"/>
      </w:numPr>
      <w:spacing w:before="240" w:after="0"/>
      <w:outlineLvl w:val="0"/>
    </w:pPr>
    <w:rPr>
      <w:rFonts w:ascii="Gentona Book" w:eastAsiaTheme="majorEastAsia" w:hAnsi="Gentona Book" w:cstheme="majorBidi"/>
      <w:color w:val="E84817"/>
      <w:sz w:val="32"/>
      <w:szCs w:val="32"/>
    </w:rPr>
  </w:style>
  <w:style w:type="paragraph" w:styleId="Ttulo2">
    <w:name w:val="heading 2"/>
    <w:basedOn w:val="Ttulo1"/>
    <w:next w:val="Normal"/>
    <w:link w:val="Ttulo2Char"/>
    <w:uiPriority w:val="9"/>
    <w:unhideWhenUsed/>
    <w:qFormat/>
    <w:rsid w:val="00A468C9"/>
    <w:pPr>
      <w:numPr>
        <w:ilvl w:val="1"/>
      </w:numPr>
      <w:spacing w:after="120"/>
      <w:ind w:left="788" w:hanging="431"/>
      <w:outlineLvl w:val="1"/>
    </w:pPr>
    <w:rPr>
      <w:bCs/>
      <w:sz w:val="28"/>
      <w:szCs w:val="28"/>
    </w:rPr>
  </w:style>
  <w:style w:type="paragraph" w:styleId="Ttulo3">
    <w:name w:val="heading 3"/>
    <w:basedOn w:val="Ttulo2"/>
    <w:next w:val="Normal"/>
    <w:link w:val="Ttulo3Char"/>
    <w:uiPriority w:val="9"/>
    <w:unhideWhenUsed/>
    <w:qFormat/>
    <w:rsid w:val="004F0C01"/>
    <w:pPr>
      <w:numPr>
        <w:ilvl w:val="2"/>
      </w:numPr>
      <w:outlineLvl w:val="2"/>
    </w:pPr>
    <w:rPr>
      <w:rFonts w:ascii="Gentona Light" w:hAnsi="Gentona Light"/>
      <w:iCs/>
      <w:sz w:val="24"/>
      <w:szCs w:val="24"/>
    </w:rPr>
  </w:style>
  <w:style w:type="paragraph" w:styleId="Ttulo4">
    <w:name w:val="heading 4"/>
    <w:basedOn w:val="Normal"/>
    <w:next w:val="Normal"/>
    <w:link w:val="Ttulo4Char"/>
    <w:uiPriority w:val="9"/>
    <w:unhideWhenUsed/>
    <w:qFormat/>
    <w:rsid w:val="00500AE2"/>
    <w:pPr>
      <w:keepNext/>
      <w:keepLines/>
      <w:spacing w:before="40" w:after="0" w:line="259" w:lineRule="auto"/>
      <w:ind w:left="2280" w:hanging="864"/>
      <w:outlineLvl w:val="3"/>
    </w:pPr>
    <w:rPr>
      <w:rFonts w:eastAsiaTheme="majorEastAsia" w:cstheme="majorBidi"/>
      <w:i/>
      <w:iCs/>
      <w:color w:val="E84817"/>
    </w:rPr>
  </w:style>
  <w:style w:type="paragraph" w:styleId="Ttulo5">
    <w:name w:val="heading 5"/>
    <w:basedOn w:val="Normal"/>
    <w:next w:val="Normal"/>
    <w:link w:val="Ttulo5Char"/>
    <w:uiPriority w:val="9"/>
    <w:semiHidden/>
    <w:unhideWhenUsed/>
    <w:qFormat/>
    <w:rsid w:val="00500AE2"/>
    <w:pPr>
      <w:keepNext/>
      <w:keepLines/>
      <w:spacing w:before="40" w:after="0" w:line="259" w:lineRule="auto"/>
      <w:ind w:left="1008" w:hanging="1008"/>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00AE2"/>
    <w:pPr>
      <w:keepNext/>
      <w:keepLines/>
      <w:spacing w:before="40" w:after="0" w:line="259" w:lineRule="auto"/>
      <w:ind w:left="1152" w:hanging="1152"/>
      <w:outlineLvl w:val="5"/>
    </w:pPr>
    <w:rPr>
      <w:rFonts w:eastAsiaTheme="majorEastAsia" w:cstheme="majorBidi"/>
      <w:color w:val="1F3763" w:themeColor="accent1" w:themeShade="7F"/>
    </w:rPr>
  </w:style>
  <w:style w:type="paragraph" w:styleId="Ttulo7">
    <w:name w:val="heading 7"/>
    <w:basedOn w:val="Normal"/>
    <w:next w:val="Normal"/>
    <w:link w:val="Ttulo7Char"/>
    <w:uiPriority w:val="9"/>
    <w:semiHidden/>
    <w:unhideWhenUsed/>
    <w:qFormat/>
    <w:rsid w:val="00500AE2"/>
    <w:pPr>
      <w:keepNext/>
      <w:keepLines/>
      <w:spacing w:before="40" w:after="0" w:line="259" w:lineRule="auto"/>
      <w:ind w:left="1296" w:hanging="1296"/>
      <w:outlineLvl w:val="6"/>
    </w:pPr>
    <w:rPr>
      <w:rFonts w:eastAsiaTheme="majorEastAsia" w:cstheme="majorBidi"/>
      <w:i/>
      <w:iCs/>
      <w:color w:val="1F3763" w:themeColor="accent1" w:themeShade="7F"/>
    </w:rPr>
  </w:style>
  <w:style w:type="paragraph" w:styleId="Ttulo8">
    <w:name w:val="heading 8"/>
    <w:basedOn w:val="Normal"/>
    <w:next w:val="Normal"/>
    <w:link w:val="Ttulo8Char"/>
    <w:uiPriority w:val="9"/>
    <w:semiHidden/>
    <w:unhideWhenUsed/>
    <w:qFormat/>
    <w:rsid w:val="00500AE2"/>
    <w:pPr>
      <w:keepNext/>
      <w:keepLines/>
      <w:spacing w:before="40" w:after="0" w:line="259" w:lineRule="auto"/>
      <w:ind w:left="1440" w:hanging="1440"/>
      <w:outlineLvl w:val="7"/>
    </w:pPr>
    <w:rPr>
      <w:rFonts w:eastAsiaTheme="majorEastAsia"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00AE2"/>
    <w:pPr>
      <w:keepNext/>
      <w:keepLines/>
      <w:spacing w:before="40" w:after="0" w:line="259" w:lineRule="auto"/>
      <w:ind w:left="1584" w:hanging="1584"/>
      <w:outlineLvl w:val="8"/>
    </w:pPr>
    <w:rPr>
      <w:rFonts w:eastAsiaTheme="majorEastAsia"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rsid w:val="006638D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6638D4"/>
    <w:rPr>
      <w:rFonts w:eastAsiaTheme="minorEastAsia"/>
      <w:lang w:eastAsia="pt-BR"/>
    </w:rPr>
  </w:style>
  <w:style w:type="paragraph" w:styleId="Cabealho">
    <w:name w:val="header"/>
    <w:basedOn w:val="Normal"/>
    <w:link w:val="CabealhoChar"/>
    <w:uiPriority w:val="99"/>
    <w:unhideWhenUsed/>
    <w:rsid w:val="006638D4"/>
    <w:pPr>
      <w:tabs>
        <w:tab w:val="center" w:pos="4252"/>
        <w:tab w:val="right" w:pos="8504"/>
      </w:tabs>
      <w:spacing w:after="0"/>
    </w:pPr>
  </w:style>
  <w:style w:type="character" w:customStyle="1" w:styleId="CabealhoChar">
    <w:name w:val="Cabeçalho Char"/>
    <w:basedOn w:val="Fontepargpadro"/>
    <w:link w:val="Cabealho"/>
    <w:uiPriority w:val="99"/>
    <w:rsid w:val="006638D4"/>
  </w:style>
  <w:style w:type="paragraph" w:styleId="Rodap">
    <w:name w:val="footer"/>
    <w:basedOn w:val="Normal"/>
    <w:link w:val="RodapChar"/>
    <w:uiPriority w:val="99"/>
    <w:unhideWhenUsed/>
    <w:rsid w:val="006638D4"/>
    <w:pPr>
      <w:tabs>
        <w:tab w:val="center" w:pos="4252"/>
        <w:tab w:val="right" w:pos="8504"/>
      </w:tabs>
      <w:spacing w:after="0"/>
    </w:pPr>
  </w:style>
  <w:style w:type="character" w:customStyle="1" w:styleId="RodapChar">
    <w:name w:val="Rodapé Char"/>
    <w:basedOn w:val="Fontepargpadro"/>
    <w:link w:val="Rodap"/>
    <w:uiPriority w:val="99"/>
    <w:rsid w:val="006638D4"/>
  </w:style>
  <w:style w:type="character" w:customStyle="1" w:styleId="Ttulo1Char">
    <w:name w:val="Título 1 Char"/>
    <w:basedOn w:val="Fontepargpadro"/>
    <w:link w:val="Ttulo1"/>
    <w:uiPriority w:val="9"/>
    <w:rsid w:val="003251D9"/>
    <w:rPr>
      <w:rFonts w:ascii="Gentona Book" w:eastAsiaTheme="majorEastAsia" w:hAnsi="Gentona Book" w:cstheme="majorBidi"/>
      <w:color w:val="E84817"/>
      <w:sz w:val="32"/>
      <w:szCs w:val="32"/>
    </w:rPr>
  </w:style>
  <w:style w:type="character" w:customStyle="1" w:styleId="Ttulo2Char">
    <w:name w:val="Título 2 Char"/>
    <w:basedOn w:val="Fontepargpadro"/>
    <w:link w:val="Ttulo2"/>
    <w:uiPriority w:val="9"/>
    <w:rsid w:val="00A468C9"/>
    <w:rPr>
      <w:rFonts w:ascii="Gentona Book" w:eastAsiaTheme="majorEastAsia" w:hAnsi="Gentona Book" w:cstheme="majorBidi"/>
      <w:bCs/>
      <w:color w:val="E84817"/>
      <w:sz w:val="28"/>
      <w:szCs w:val="28"/>
    </w:rPr>
  </w:style>
  <w:style w:type="table" w:styleId="Tabelacomgrade">
    <w:name w:val="Table Grid"/>
    <w:basedOn w:val="Tabelanormal"/>
    <w:uiPriority w:val="39"/>
    <w:rsid w:val="005F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4F0C01"/>
    <w:rPr>
      <w:rFonts w:ascii="Gentona Light" w:eastAsiaTheme="majorEastAsia" w:hAnsi="Gentona Light" w:cstheme="majorBidi"/>
      <w:bCs/>
      <w:iCs/>
      <w:color w:val="E84817"/>
      <w:sz w:val="24"/>
      <w:szCs w:val="24"/>
    </w:rPr>
  </w:style>
  <w:style w:type="character" w:customStyle="1" w:styleId="Ttulo4Char">
    <w:name w:val="Título 4 Char"/>
    <w:basedOn w:val="Fontepargpadro"/>
    <w:link w:val="Ttulo4"/>
    <w:uiPriority w:val="9"/>
    <w:rsid w:val="00500AE2"/>
    <w:rPr>
      <w:rFonts w:ascii="Gentona Light" w:eastAsiaTheme="majorEastAsia" w:hAnsi="Gentona Light" w:cstheme="majorBidi"/>
      <w:i/>
      <w:iCs/>
      <w:color w:val="E84817"/>
    </w:rPr>
  </w:style>
  <w:style w:type="character" w:customStyle="1" w:styleId="Ttulo5Char">
    <w:name w:val="Título 5 Char"/>
    <w:basedOn w:val="Fontepargpadro"/>
    <w:link w:val="Ttulo5"/>
    <w:uiPriority w:val="9"/>
    <w:semiHidden/>
    <w:rsid w:val="00500AE2"/>
    <w:rPr>
      <w:rFonts w:ascii="Gentona Light" w:eastAsiaTheme="majorEastAsia" w:hAnsi="Gentona Light" w:cstheme="majorBidi"/>
      <w:color w:val="2F5496" w:themeColor="accent1" w:themeShade="BF"/>
    </w:rPr>
  </w:style>
  <w:style w:type="character" w:customStyle="1" w:styleId="Ttulo6Char">
    <w:name w:val="Título 6 Char"/>
    <w:basedOn w:val="Fontepargpadro"/>
    <w:link w:val="Ttulo6"/>
    <w:uiPriority w:val="9"/>
    <w:semiHidden/>
    <w:rsid w:val="00500AE2"/>
    <w:rPr>
      <w:rFonts w:ascii="Gentona Light" w:eastAsiaTheme="majorEastAsia" w:hAnsi="Gentona Light" w:cstheme="majorBidi"/>
      <w:color w:val="1F3763" w:themeColor="accent1" w:themeShade="7F"/>
    </w:rPr>
  </w:style>
  <w:style w:type="character" w:customStyle="1" w:styleId="Ttulo7Char">
    <w:name w:val="Título 7 Char"/>
    <w:basedOn w:val="Fontepargpadro"/>
    <w:link w:val="Ttulo7"/>
    <w:uiPriority w:val="9"/>
    <w:semiHidden/>
    <w:rsid w:val="00500AE2"/>
    <w:rPr>
      <w:rFonts w:ascii="Gentona Light" w:eastAsiaTheme="majorEastAsia" w:hAnsi="Gentona Light" w:cstheme="majorBidi"/>
      <w:i/>
      <w:iCs/>
      <w:color w:val="1F3763" w:themeColor="accent1" w:themeShade="7F"/>
    </w:rPr>
  </w:style>
  <w:style w:type="character" w:customStyle="1" w:styleId="Ttulo8Char">
    <w:name w:val="Título 8 Char"/>
    <w:basedOn w:val="Fontepargpadro"/>
    <w:link w:val="Ttulo8"/>
    <w:uiPriority w:val="9"/>
    <w:semiHidden/>
    <w:rsid w:val="00500AE2"/>
    <w:rPr>
      <w:rFonts w:ascii="Gentona Light" w:eastAsiaTheme="majorEastAsia" w:hAnsi="Gentona Light" w:cstheme="majorBidi"/>
      <w:color w:val="272727" w:themeColor="text1" w:themeTint="D8"/>
      <w:sz w:val="21"/>
      <w:szCs w:val="21"/>
    </w:rPr>
  </w:style>
  <w:style w:type="character" w:customStyle="1" w:styleId="Ttulo9Char">
    <w:name w:val="Título 9 Char"/>
    <w:basedOn w:val="Fontepargpadro"/>
    <w:link w:val="Ttulo9"/>
    <w:uiPriority w:val="9"/>
    <w:semiHidden/>
    <w:rsid w:val="00500AE2"/>
    <w:rPr>
      <w:rFonts w:ascii="Gentona Light" w:eastAsiaTheme="majorEastAsia" w:hAnsi="Gentona Light" w:cstheme="majorBidi"/>
      <w:i/>
      <w:iCs/>
      <w:color w:val="272727" w:themeColor="text1" w:themeTint="D8"/>
      <w:sz w:val="21"/>
      <w:szCs w:val="21"/>
    </w:rPr>
  </w:style>
  <w:style w:type="paragraph" w:styleId="NormalWeb">
    <w:name w:val="Normal (Web)"/>
    <w:basedOn w:val="Normal"/>
    <w:uiPriority w:val="99"/>
    <w:semiHidden/>
    <w:unhideWhenUsed/>
    <w:rsid w:val="00500AE2"/>
    <w:pPr>
      <w:spacing w:before="100" w:beforeAutospacing="1" w:after="100" w:afterAutospacing="1"/>
    </w:pPr>
    <w:rPr>
      <w:rFonts w:ascii="Times New Roman" w:eastAsiaTheme="minorEastAsia" w:hAnsi="Times New Roman" w:cs="Times New Roman"/>
      <w:szCs w:val="24"/>
      <w:lang w:eastAsia="pt-BR"/>
    </w:rPr>
  </w:style>
  <w:style w:type="paragraph" w:styleId="Textodebalo">
    <w:name w:val="Balloon Text"/>
    <w:basedOn w:val="Normal"/>
    <w:link w:val="TextodebaloChar"/>
    <w:uiPriority w:val="99"/>
    <w:semiHidden/>
    <w:unhideWhenUsed/>
    <w:rsid w:val="00500AE2"/>
    <w:pPr>
      <w:spacing w:before="0" w:after="0"/>
    </w:pPr>
    <w:rPr>
      <w:rFonts w:ascii="Segoe UI" w:hAnsi="Segoe UI" w:cs="Segoe UI"/>
      <w:szCs w:val="18"/>
    </w:rPr>
  </w:style>
  <w:style w:type="character" w:customStyle="1" w:styleId="TextodebaloChar">
    <w:name w:val="Texto de balão Char"/>
    <w:basedOn w:val="Fontepargpadro"/>
    <w:link w:val="Textodebalo"/>
    <w:uiPriority w:val="99"/>
    <w:semiHidden/>
    <w:rsid w:val="00500AE2"/>
    <w:rPr>
      <w:rFonts w:ascii="Segoe UI" w:hAnsi="Segoe UI" w:cs="Segoe UI"/>
      <w:color w:val="0D0E0E"/>
      <w:szCs w:val="18"/>
    </w:rPr>
  </w:style>
  <w:style w:type="paragraph" w:styleId="Sumrio1">
    <w:name w:val="toc 1"/>
    <w:basedOn w:val="Normal"/>
    <w:next w:val="Normal"/>
    <w:autoRedefine/>
    <w:uiPriority w:val="39"/>
    <w:unhideWhenUsed/>
    <w:rsid w:val="00500AE2"/>
    <w:pPr>
      <w:spacing w:before="0" w:after="100" w:line="259" w:lineRule="auto"/>
    </w:pPr>
  </w:style>
  <w:style w:type="character" w:styleId="Hyperlink">
    <w:name w:val="Hyperlink"/>
    <w:basedOn w:val="Fontepargpadro"/>
    <w:uiPriority w:val="99"/>
    <w:unhideWhenUsed/>
    <w:rsid w:val="00500AE2"/>
    <w:rPr>
      <w:color w:val="0563C1" w:themeColor="hyperlink"/>
      <w:u w:val="single"/>
    </w:rPr>
  </w:style>
  <w:style w:type="paragraph" w:styleId="CabealhodoSumrio">
    <w:name w:val="TOC Heading"/>
    <w:basedOn w:val="Ttulo1"/>
    <w:next w:val="Normal"/>
    <w:uiPriority w:val="39"/>
    <w:unhideWhenUsed/>
    <w:qFormat/>
    <w:rsid w:val="00500AE2"/>
    <w:pPr>
      <w:spacing w:beforeLines="150" w:before="150" w:after="120"/>
      <w:ind w:left="432" w:hanging="432"/>
      <w:outlineLvl w:val="9"/>
    </w:pPr>
    <w:rPr>
      <w:color w:val="2F5496" w:themeColor="accent1" w:themeShade="BF"/>
      <w:szCs w:val="20"/>
      <w:lang w:eastAsia="pt-BR"/>
    </w:rPr>
  </w:style>
  <w:style w:type="paragraph" w:styleId="Sumrio2">
    <w:name w:val="toc 2"/>
    <w:basedOn w:val="Normal"/>
    <w:next w:val="Normal"/>
    <w:autoRedefine/>
    <w:uiPriority w:val="39"/>
    <w:unhideWhenUsed/>
    <w:rsid w:val="00500AE2"/>
    <w:pPr>
      <w:spacing w:before="0" w:after="100" w:line="259" w:lineRule="auto"/>
      <w:ind w:left="220"/>
    </w:pPr>
  </w:style>
  <w:style w:type="paragraph" w:customStyle="1" w:styleId="Default">
    <w:name w:val="Default"/>
    <w:rsid w:val="00500AE2"/>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500AE2"/>
    <w:pPr>
      <w:spacing w:before="0" w:after="160" w:line="259" w:lineRule="auto"/>
      <w:ind w:left="720"/>
      <w:contextualSpacing/>
    </w:pPr>
  </w:style>
  <w:style w:type="table" w:customStyle="1" w:styleId="TabeladeLista1Clara1">
    <w:name w:val="Tabela de Lista 1 Clara1"/>
    <w:basedOn w:val="Tabelanormal"/>
    <w:uiPriority w:val="46"/>
    <w:rsid w:val="00500A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21">
    <w:name w:val="Tabela de Grade 21"/>
    <w:basedOn w:val="Tabelanormal"/>
    <w:uiPriority w:val="47"/>
    <w:rsid w:val="00500A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31">
    <w:name w:val="Tabela Simples 31"/>
    <w:basedOn w:val="Tabelanormal"/>
    <w:uiPriority w:val="43"/>
    <w:rsid w:val="00500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deGrade2-nfase31">
    <w:name w:val="Tabela de Grade 2 - Ênfase 31"/>
    <w:basedOn w:val="Tabelanormal"/>
    <w:uiPriority w:val="47"/>
    <w:rsid w:val="00500AE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5Escura-nfase31">
    <w:name w:val="Tabela de Grade 5 Escura - Ênfase 31"/>
    <w:basedOn w:val="Tabelanormal"/>
    <w:uiPriority w:val="50"/>
    <w:rsid w:val="00500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pple-converted-space">
    <w:name w:val="apple-converted-space"/>
    <w:basedOn w:val="Fontepargpadro"/>
    <w:rsid w:val="00500AE2"/>
  </w:style>
  <w:style w:type="paragraph" w:styleId="Reviso">
    <w:name w:val="Revision"/>
    <w:hidden/>
    <w:uiPriority w:val="99"/>
    <w:semiHidden/>
    <w:rsid w:val="00500AE2"/>
    <w:pPr>
      <w:spacing w:after="0" w:line="240" w:lineRule="auto"/>
    </w:pPr>
  </w:style>
  <w:style w:type="character" w:styleId="TextodoEspaoReservado">
    <w:name w:val="Placeholder Text"/>
    <w:basedOn w:val="Fontepargpadro"/>
    <w:uiPriority w:val="99"/>
    <w:semiHidden/>
    <w:rsid w:val="00500AE2"/>
    <w:rPr>
      <w:color w:val="808080"/>
    </w:rPr>
  </w:style>
  <w:style w:type="paragraph" w:styleId="Sumrio3">
    <w:name w:val="toc 3"/>
    <w:basedOn w:val="Normal"/>
    <w:next w:val="Normal"/>
    <w:autoRedefine/>
    <w:uiPriority w:val="39"/>
    <w:unhideWhenUsed/>
    <w:rsid w:val="00500AE2"/>
    <w:pPr>
      <w:spacing w:before="0" w:after="100" w:line="259" w:lineRule="auto"/>
      <w:ind w:left="400"/>
    </w:pPr>
  </w:style>
  <w:style w:type="character" w:styleId="Refdecomentrio">
    <w:name w:val="annotation reference"/>
    <w:basedOn w:val="Fontepargpadro"/>
    <w:uiPriority w:val="99"/>
    <w:semiHidden/>
    <w:unhideWhenUsed/>
    <w:rsid w:val="00500AE2"/>
    <w:rPr>
      <w:sz w:val="16"/>
      <w:szCs w:val="16"/>
    </w:rPr>
  </w:style>
  <w:style w:type="paragraph" w:styleId="Textodecomentrio">
    <w:name w:val="annotation text"/>
    <w:basedOn w:val="Normal"/>
    <w:link w:val="TextodecomentrioChar"/>
    <w:uiPriority w:val="99"/>
    <w:semiHidden/>
    <w:unhideWhenUsed/>
    <w:rsid w:val="00500AE2"/>
    <w:pPr>
      <w:spacing w:before="0" w:after="160"/>
    </w:pPr>
    <w:rPr>
      <w:szCs w:val="20"/>
    </w:rPr>
  </w:style>
  <w:style w:type="character" w:customStyle="1" w:styleId="TextodecomentrioChar">
    <w:name w:val="Texto de comentário Char"/>
    <w:basedOn w:val="Fontepargpadro"/>
    <w:link w:val="Textodecomentrio"/>
    <w:uiPriority w:val="99"/>
    <w:semiHidden/>
    <w:rsid w:val="00500AE2"/>
    <w:rPr>
      <w:rFonts w:ascii="Gentona Light" w:hAnsi="Gentona Light"/>
      <w:color w:val="0D0E0E"/>
      <w:szCs w:val="20"/>
    </w:rPr>
  </w:style>
  <w:style w:type="paragraph" w:styleId="Assuntodocomentrio">
    <w:name w:val="annotation subject"/>
    <w:basedOn w:val="Textodecomentrio"/>
    <w:next w:val="Textodecomentrio"/>
    <w:link w:val="AssuntodocomentrioChar"/>
    <w:uiPriority w:val="99"/>
    <w:semiHidden/>
    <w:unhideWhenUsed/>
    <w:rsid w:val="00500AE2"/>
    <w:rPr>
      <w:b/>
      <w:bCs/>
    </w:rPr>
  </w:style>
  <w:style w:type="character" w:customStyle="1" w:styleId="AssuntodocomentrioChar">
    <w:name w:val="Assunto do comentário Char"/>
    <w:basedOn w:val="TextodecomentrioChar"/>
    <w:link w:val="Assuntodocomentrio"/>
    <w:uiPriority w:val="99"/>
    <w:semiHidden/>
    <w:rsid w:val="00500AE2"/>
    <w:rPr>
      <w:rFonts w:ascii="Gentona Light" w:hAnsi="Gentona Light"/>
      <w:b/>
      <w:bCs/>
      <w:color w:val="0D0E0E"/>
      <w:szCs w:val="20"/>
    </w:rPr>
  </w:style>
  <w:style w:type="table" w:customStyle="1" w:styleId="TabeladeGrade5Escura-nfase11">
    <w:name w:val="Tabela de Grade 5 Escura - Ênfase 11"/>
    <w:basedOn w:val="Tabelanormal"/>
    <w:uiPriority w:val="50"/>
    <w:rsid w:val="00500A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deLista1Clara-nfase31">
    <w:name w:val="Tabela de Lista 1 Clara - Ênfase 31"/>
    <w:basedOn w:val="Tabelanormal"/>
    <w:uiPriority w:val="46"/>
    <w:rsid w:val="00500AE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rte">
    <w:name w:val="Strong"/>
    <w:basedOn w:val="Fontepargpadro"/>
    <w:uiPriority w:val="22"/>
    <w:qFormat/>
    <w:rsid w:val="00500AE2"/>
    <w:rPr>
      <w:b/>
      <w:bCs/>
    </w:rPr>
  </w:style>
  <w:style w:type="character" w:customStyle="1" w:styleId="MenoPendente1">
    <w:name w:val="Menção Pendente1"/>
    <w:basedOn w:val="Fontepargpadro"/>
    <w:uiPriority w:val="99"/>
    <w:semiHidden/>
    <w:unhideWhenUsed/>
    <w:rsid w:val="00500AE2"/>
    <w:rPr>
      <w:color w:val="605E5C"/>
      <w:shd w:val="clear" w:color="auto" w:fill="E1DFDD"/>
    </w:rPr>
  </w:style>
  <w:style w:type="paragraph" w:styleId="Textodenotaderodap">
    <w:name w:val="footnote text"/>
    <w:basedOn w:val="Normal"/>
    <w:link w:val="TextodenotaderodapChar"/>
    <w:uiPriority w:val="99"/>
    <w:semiHidden/>
    <w:unhideWhenUsed/>
    <w:rsid w:val="00500AE2"/>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500AE2"/>
    <w:rPr>
      <w:rFonts w:ascii="Gentona Light" w:hAnsi="Gentona Light"/>
      <w:color w:val="0D0E0E"/>
      <w:sz w:val="20"/>
      <w:szCs w:val="20"/>
    </w:rPr>
  </w:style>
  <w:style w:type="character" w:styleId="Refdenotaderodap">
    <w:name w:val="footnote reference"/>
    <w:basedOn w:val="Fontepargpadro"/>
    <w:uiPriority w:val="99"/>
    <w:semiHidden/>
    <w:unhideWhenUsed/>
    <w:rsid w:val="00500AE2"/>
    <w:rPr>
      <w:vertAlign w:val="superscript"/>
    </w:rPr>
  </w:style>
  <w:style w:type="paragraph" w:customStyle="1" w:styleId="content-textcontainer">
    <w:name w:val="content-text__container"/>
    <w:basedOn w:val="Normal"/>
    <w:rsid w:val="00500AE2"/>
    <w:pPr>
      <w:spacing w:before="100" w:beforeAutospacing="1" w:after="100" w:afterAutospacing="1"/>
      <w:jc w:val="left"/>
    </w:pPr>
    <w:rPr>
      <w:rFonts w:ascii="Times New Roman" w:eastAsia="Times New Roman" w:hAnsi="Times New Roman" w:cs="Times New Roman"/>
      <w:color w:val="auto"/>
      <w:szCs w:val="24"/>
      <w:lang w:eastAsia="pt-BR"/>
    </w:rPr>
  </w:style>
  <w:style w:type="table" w:styleId="TabeladeGrade4">
    <w:name w:val="Grid Table 4"/>
    <w:basedOn w:val="Tabelanormal"/>
    <w:uiPriority w:val="49"/>
    <w:rsid w:val="008E1C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3">
    <w:name w:val="Grid Table 4 Accent 3"/>
    <w:basedOn w:val="Tabelanormal"/>
    <w:uiPriority w:val="49"/>
    <w:rsid w:val="00EF43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oPendente">
    <w:name w:val="Unresolved Mention"/>
    <w:basedOn w:val="Fontepargpadro"/>
    <w:uiPriority w:val="99"/>
    <w:semiHidden/>
    <w:unhideWhenUsed/>
    <w:rsid w:val="00B65FF2"/>
    <w:rPr>
      <w:color w:val="605E5C"/>
      <w:shd w:val="clear" w:color="auto" w:fill="E1DFDD"/>
    </w:rPr>
  </w:style>
  <w:style w:type="paragraph" w:styleId="Commarcadores">
    <w:name w:val="List Bullet"/>
    <w:basedOn w:val="Normal"/>
    <w:uiPriority w:val="99"/>
    <w:unhideWhenUsed/>
    <w:rsid w:val="002B16B4"/>
    <w:pPr>
      <w:numPr>
        <w:numId w:val="10"/>
      </w:numPr>
      <w:contextualSpacing/>
    </w:pPr>
  </w:style>
  <w:style w:type="paragraph" w:styleId="Corpodetexto">
    <w:name w:val="Body Text"/>
    <w:basedOn w:val="Normal"/>
    <w:link w:val="CorpodetextoChar"/>
    <w:uiPriority w:val="1"/>
    <w:qFormat/>
    <w:rsid w:val="008655FF"/>
    <w:pPr>
      <w:widowControl w:val="0"/>
      <w:autoSpaceDE w:val="0"/>
      <w:autoSpaceDN w:val="0"/>
      <w:spacing w:before="0" w:after="0"/>
      <w:jc w:val="left"/>
    </w:pPr>
    <w:rPr>
      <w:rFonts w:ascii="Cambria" w:eastAsia="Cambria" w:hAnsi="Cambria" w:cs="Cambria"/>
      <w:color w:val="auto"/>
      <w:sz w:val="24"/>
      <w:szCs w:val="24"/>
      <w:lang w:val="pt-PT"/>
    </w:rPr>
  </w:style>
  <w:style w:type="character" w:customStyle="1" w:styleId="CorpodetextoChar">
    <w:name w:val="Corpo de texto Char"/>
    <w:basedOn w:val="Fontepargpadro"/>
    <w:link w:val="Corpodetexto"/>
    <w:uiPriority w:val="1"/>
    <w:rsid w:val="008655FF"/>
    <w:rPr>
      <w:rFonts w:ascii="Cambria" w:eastAsia="Cambria" w:hAnsi="Cambria" w:cs="Cambria"/>
      <w:sz w:val="24"/>
      <w:szCs w:val="24"/>
      <w:lang w:val="pt-PT"/>
    </w:rPr>
  </w:style>
  <w:style w:type="character" w:customStyle="1" w:styleId="paragrafo">
    <w:name w:val="paragrafo"/>
    <w:basedOn w:val="Fontepargpadro"/>
    <w:rsid w:val="0038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ED09C-CC08-45B1-8591-39037472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47</Pages>
  <Words>16718</Words>
  <Characters>95796</Characters>
  <Application>Microsoft Office Word</Application>
  <DocSecurity>0</DocSecurity>
  <Lines>3684</Lines>
  <Paragraphs>1004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Zaniquelli</dc:creator>
  <cp:keywords/>
  <dc:description/>
  <cp:lastModifiedBy>LUIS PEREIRA</cp:lastModifiedBy>
  <cp:revision>2</cp:revision>
  <cp:lastPrinted>2025-12-02T19:27:00Z</cp:lastPrinted>
  <dcterms:created xsi:type="dcterms:W3CDTF">2025-12-02T19:52:00Z</dcterms:created>
  <dcterms:modified xsi:type="dcterms:W3CDTF">2025-12-02T19:52:00Z</dcterms:modified>
</cp:coreProperties>
</file>